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3387" w14:textId="77777777" w:rsidR="00CE51C4" w:rsidRPr="00CE51C4" w:rsidRDefault="00CE51C4" w:rsidP="00CE51C4">
      <w:pPr>
        <w:jc w:val="center"/>
        <w:rPr>
          <w:rFonts w:ascii="Arial" w:eastAsia="Arial" w:hAnsi="Arial"/>
          <w:b/>
          <w:sz w:val="24"/>
          <w:szCs w:val="24"/>
        </w:rPr>
      </w:pPr>
      <w:r w:rsidRPr="00CE51C4">
        <w:rPr>
          <w:rFonts w:ascii="Arial" w:eastAsia="Arial" w:hAnsi="Arial"/>
          <w:b/>
          <w:sz w:val="24"/>
          <w:szCs w:val="24"/>
        </w:rPr>
        <w:t>International evidence on HAT individual and community outcomes</w:t>
      </w:r>
    </w:p>
    <w:p w14:paraId="55E6B7C1" w14:textId="77777777" w:rsidR="00CE51C4" w:rsidRDefault="00CE51C4" w:rsidP="00CE51C4">
      <w:pPr>
        <w:jc w:val="center"/>
        <w:rPr>
          <w:rFonts w:ascii="Arial" w:eastAsia="Arial" w:hAnsi="Arial"/>
          <w:b/>
          <w:sz w:val="22"/>
          <w:szCs w:val="22"/>
        </w:rPr>
      </w:pPr>
    </w:p>
    <w:p w14:paraId="0F244EBE" w14:textId="77777777" w:rsidR="00CE51C4" w:rsidRDefault="00CE51C4" w:rsidP="00CE51C4">
      <w:pPr>
        <w:jc w:val="center"/>
        <w:rPr>
          <w:rFonts w:ascii="Arial" w:eastAsia="Arial" w:hAnsi="Arial"/>
          <w:b/>
          <w:sz w:val="22"/>
          <w:szCs w:val="22"/>
        </w:rPr>
      </w:pPr>
    </w:p>
    <w:p w14:paraId="7EED8A83" w14:textId="77777777" w:rsidR="00CE51C4" w:rsidRDefault="00CE51C4" w:rsidP="00CE51C4">
      <w:pPr>
        <w:jc w:val="center"/>
        <w:rPr>
          <w:rFonts w:ascii="Arial" w:eastAsia="Arial" w:hAnsi="Arial"/>
          <w:b/>
          <w:sz w:val="22"/>
          <w:szCs w:val="22"/>
        </w:rPr>
      </w:pPr>
    </w:p>
    <w:p w14:paraId="79E7CC55" w14:textId="77777777" w:rsidR="00CE51C4" w:rsidRPr="00CE51C4" w:rsidRDefault="00CE51C4" w:rsidP="00CE51C4">
      <w:pPr>
        <w:pStyle w:val="ListParagraph"/>
        <w:numPr>
          <w:ilvl w:val="0"/>
          <w:numId w:val="1"/>
        </w:numPr>
        <w:rPr>
          <w:rStyle w:val="A41"/>
          <w:rFonts w:ascii="Arial" w:hAnsi="Arial" w:cs="Arial"/>
          <w:b/>
          <w:color w:val="auto"/>
          <w:sz w:val="24"/>
          <w:szCs w:val="24"/>
          <w:u w:val="single"/>
        </w:rPr>
      </w:pPr>
      <w:r w:rsidRPr="00CE51C4">
        <w:rPr>
          <w:rStyle w:val="A41"/>
          <w:rFonts w:ascii="Arial" w:hAnsi="Arial" w:cs="Arial"/>
          <w:b/>
          <w:color w:val="auto"/>
          <w:sz w:val="24"/>
          <w:szCs w:val="24"/>
          <w:u w:val="single"/>
        </w:rPr>
        <w:t>Effectiveness</w:t>
      </w:r>
    </w:p>
    <w:p w14:paraId="4C96C5C0" w14:textId="77777777" w:rsidR="00CE51C4" w:rsidRPr="00CE51C4" w:rsidRDefault="00CE51C4" w:rsidP="00CE51C4">
      <w:pPr>
        <w:pStyle w:val="ListParagraph"/>
        <w:ind w:left="786"/>
        <w:rPr>
          <w:rStyle w:val="A41"/>
          <w:rFonts w:ascii="Arial" w:hAnsi="Arial" w:cs="Arial"/>
          <w:color w:val="auto"/>
          <w:sz w:val="20"/>
          <w:szCs w:val="20"/>
        </w:rPr>
      </w:pPr>
    </w:p>
    <w:p w14:paraId="4F2D2DBE" w14:textId="77777777" w:rsidR="00CE51C4" w:rsidRPr="00CE51C4" w:rsidRDefault="00CE51C4" w:rsidP="00055A1E">
      <w:pPr>
        <w:rPr>
          <w:rStyle w:val="A41"/>
          <w:rFonts w:ascii="Arial" w:hAnsi="Arial" w:cs="Arial"/>
          <w:color w:val="auto"/>
          <w:sz w:val="20"/>
          <w:szCs w:val="20"/>
        </w:rPr>
      </w:pPr>
    </w:p>
    <w:p w14:paraId="1340A772" w14:textId="77777777" w:rsidR="00FB748F" w:rsidRDefault="00841B0A" w:rsidP="00055A1E">
      <w:pPr>
        <w:rPr>
          <w:rStyle w:val="A41"/>
          <w:rFonts w:ascii="Arial" w:hAnsi="Arial" w:cs="Arial"/>
          <w:color w:val="auto"/>
          <w:sz w:val="20"/>
          <w:szCs w:val="20"/>
        </w:rPr>
      </w:pPr>
      <w:r w:rsidRPr="00841B0A">
        <w:rPr>
          <w:rStyle w:val="A41"/>
          <w:rFonts w:ascii="Arial" w:hAnsi="Arial" w:cs="Arial"/>
          <w:color w:val="auto"/>
          <w:sz w:val="20"/>
          <w:szCs w:val="20"/>
        </w:rPr>
        <w:t xml:space="preserve">Strang, J., </w:t>
      </w:r>
      <w:proofErr w:type="spellStart"/>
      <w:r w:rsidRPr="00841B0A">
        <w:rPr>
          <w:rStyle w:val="A41"/>
          <w:rFonts w:ascii="Arial" w:hAnsi="Arial" w:cs="Arial"/>
          <w:color w:val="auto"/>
          <w:sz w:val="20"/>
          <w:szCs w:val="20"/>
        </w:rPr>
        <w:t>Groshkova</w:t>
      </w:r>
      <w:proofErr w:type="spellEnd"/>
      <w:r w:rsidRPr="00841B0A">
        <w:rPr>
          <w:rStyle w:val="A41"/>
          <w:rFonts w:ascii="Arial" w:hAnsi="Arial" w:cs="Arial"/>
          <w:color w:val="auto"/>
          <w:sz w:val="20"/>
          <w:szCs w:val="20"/>
        </w:rPr>
        <w:t xml:space="preserve">, T. and </w:t>
      </w:r>
      <w:proofErr w:type="spellStart"/>
      <w:r w:rsidRPr="00841B0A">
        <w:rPr>
          <w:rStyle w:val="A41"/>
          <w:rFonts w:ascii="Arial" w:hAnsi="Arial" w:cs="Arial"/>
          <w:color w:val="auto"/>
          <w:sz w:val="20"/>
          <w:szCs w:val="20"/>
        </w:rPr>
        <w:t>Metrebaian</w:t>
      </w:r>
      <w:proofErr w:type="spellEnd"/>
      <w:r w:rsidRPr="00841B0A">
        <w:rPr>
          <w:rStyle w:val="A41"/>
          <w:rFonts w:ascii="Arial" w:hAnsi="Arial" w:cs="Arial"/>
          <w:color w:val="auto"/>
          <w:sz w:val="20"/>
          <w:szCs w:val="20"/>
        </w:rPr>
        <w:t>, N.</w:t>
      </w:r>
      <w:r>
        <w:rPr>
          <w:rStyle w:val="A41"/>
          <w:rFonts w:ascii="Arial" w:hAnsi="Arial" w:cs="Arial"/>
          <w:i/>
          <w:color w:val="auto"/>
          <w:sz w:val="20"/>
          <w:szCs w:val="20"/>
        </w:rPr>
        <w:t xml:space="preserve"> </w:t>
      </w:r>
      <w:r w:rsidRPr="0005305F">
        <w:rPr>
          <w:rStyle w:val="A41"/>
          <w:rFonts w:ascii="Arial" w:hAnsi="Arial" w:cs="Arial"/>
          <w:b/>
          <w:i/>
          <w:color w:val="auto"/>
          <w:sz w:val="20"/>
          <w:szCs w:val="20"/>
        </w:rPr>
        <w:t>New heroin-assisted treatment: r</w:t>
      </w:r>
      <w:r w:rsidR="00055A1E" w:rsidRPr="0005305F">
        <w:rPr>
          <w:rStyle w:val="A41"/>
          <w:rFonts w:ascii="Arial" w:hAnsi="Arial" w:cs="Arial"/>
          <w:b/>
          <w:i/>
          <w:color w:val="auto"/>
          <w:sz w:val="20"/>
          <w:szCs w:val="20"/>
        </w:rPr>
        <w:t>ecent evidence and current practices of supervised injectable heroin treatment in Europe and beyond</w:t>
      </w:r>
      <w:r w:rsidRPr="0005305F">
        <w:rPr>
          <w:rStyle w:val="A41"/>
          <w:rFonts w:ascii="Arial" w:hAnsi="Arial" w:cs="Arial"/>
          <w:b/>
          <w:color w:val="auto"/>
          <w:sz w:val="20"/>
          <w:szCs w:val="20"/>
        </w:rPr>
        <w:t>.</w:t>
      </w:r>
      <w:r>
        <w:rPr>
          <w:rStyle w:val="A41"/>
          <w:rFonts w:ascii="Arial" w:hAnsi="Arial" w:cs="Arial"/>
          <w:color w:val="auto"/>
          <w:sz w:val="20"/>
          <w:szCs w:val="20"/>
        </w:rPr>
        <w:t xml:space="preserve"> </w:t>
      </w:r>
      <w:r w:rsidR="00055A1E" w:rsidRPr="00841B0A">
        <w:rPr>
          <w:rStyle w:val="A41"/>
          <w:rFonts w:ascii="Arial" w:hAnsi="Arial" w:cs="Arial"/>
          <w:color w:val="auto"/>
          <w:sz w:val="20"/>
          <w:szCs w:val="20"/>
        </w:rPr>
        <w:t>European Monitoring Centre for Drugs and Drug Addiction</w:t>
      </w:r>
    </w:p>
    <w:p w14:paraId="32647697" w14:textId="77777777" w:rsidR="00841B0A" w:rsidRDefault="00841B0A" w:rsidP="00055A1E">
      <w:pPr>
        <w:rPr>
          <w:rStyle w:val="A41"/>
          <w:rFonts w:ascii="Arial" w:hAnsi="Arial" w:cs="Arial"/>
          <w:color w:val="auto"/>
          <w:sz w:val="20"/>
          <w:szCs w:val="20"/>
        </w:rPr>
      </w:pPr>
    </w:p>
    <w:p w14:paraId="53263ED8" w14:textId="77777777" w:rsidR="00841B0A" w:rsidRDefault="00963D67" w:rsidP="00055A1E">
      <w:pPr>
        <w:rPr>
          <w:rStyle w:val="A41"/>
          <w:rFonts w:ascii="Arial" w:hAnsi="Arial" w:cs="Arial"/>
          <w:color w:val="auto"/>
          <w:sz w:val="20"/>
          <w:szCs w:val="20"/>
        </w:rPr>
      </w:pPr>
      <w:hyperlink r:id="rId6" w:history="1">
        <w:r w:rsidR="00841B0A" w:rsidRPr="0072174A">
          <w:rPr>
            <w:rStyle w:val="Hyperlink"/>
            <w:rFonts w:ascii="Arial" w:hAnsi="Arial"/>
          </w:rPr>
          <w:t>http://www.emcdda.europa.eu/attachements.cfm/att_154996_EN_Heroin%20Insight.pdf</w:t>
        </w:r>
      </w:hyperlink>
    </w:p>
    <w:p w14:paraId="7D45C2F3" w14:textId="77777777" w:rsidR="00841B0A" w:rsidRDefault="00841B0A" w:rsidP="00055A1E">
      <w:pPr>
        <w:rPr>
          <w:rStyle w:val="A41"/>
          <w:rFonts w:ascii="Arial" w:hAnsi="Arial" w:cs="Arial"/>
          <w:color w:val="auto"/>
          <w:sz w:val="20"/>
          <w:szCs w:val="20"/>
        </w:rPr>
      </w:pPr>
    </w:p>
    <w:p w14:paraId="7854E65A" w14:textId="77777777" w:rsidR="00841B0A" w:rsidRDefault="00841B0A" w:rsidP="00055A1E">
      <w:pPr>
        <w:rPr>
          <w:rStyle w:val="A41"/>
          <w:rFonts w:ascii="Arial" w:hAnsi="Arial" w:cs="Arial"/>
          <w:color w:val="auto"/>
          <w:sz w:val="20"/>
          <w:szCs w:val="20"/>
        </w:rPr>
      </w:pPr>
    </w:p>
    <w:p w14:paraId="6C15F11F" w14:textId="77777777" w:rsidR="00AA0665" w:rsidRDefault="00CE51C4" w:rsidP="00B7242F">
      <w:pPr>
        <w:spacing w:line="276" w:lineRule="auto"/>
        <w:jc w:val="both"/>
        <w:rPr>
          <w:rStyle w:val="A41"/>
          <w:rFonts w:ascii="Arial" w:hAnsi="Arial" w:cs="Arial"/>
          <w:color w:val="auto"/>
          <w:sz w:val="20"/>
          <w:szCs w:val="20"/>
        </w:rPr>
      </w:pPr>
      <w:r>
        <w:rPr>
          <w:rStyle w:val="A41"/>
          <w:rFonts w:ascii="Arial" w:hAnsi="Arial" w:cs="Arial"/>
          <w:color w:val="auto"/>
          <w:sz w:val="20"/>
          <w:szCs w:val="20"/>
        </w:rPr>
        <w:t xml:space="preserve">The international evidence base </w:t>
      </w:r>
      <w:r w:rsidR="00B7242F">
        <w:rPr>
          <w:rStyle w:val="A41"/>
          <w:rFonts w:ascii="Arial" w:hAnsi="Arial" w:cs="Arial"/>
          <w:color w:val="auto"/>
          <w:sz w:val="20"/>
          <w:szCs w:val="20"/>
        </w:rPr>
        <w:t xml:space="preserve">for the effectiveness of HAT </w:t>
      </w:r>
      <w:r>
        <w:rPr>
          <w:rStyle w:val="A41"/>
          <w:rFonts w:ascii="Arial" w:hAnsi="Arial" w:cs="Arial"/>
          <w:color w:val="auto"/>
          <w:sz w:val="20"/>
          <w:szCs w:val="20"/>
        </w:rPr>
        <w:t>is primarily based on 6 RCT studies from Europe and Canada. E</w:t>
      </w:r>
      <w:r w:rsidRPr="00CE51C4">
        <w:rPr>
          <w:rStyle w:val="A41"/>
          <w:rFonts w:ascii="Arial" w:hAnsi="Arial" w:cs="Arial"/>
          <w:color w:val="auto"/>
          <w:sz w:val="20"/>
          <w:szCs w:val="20"/>
        </w:rPr>
        <w:t>ach of the evaluations had a different profile and used different methodologies in terms of target population, nature of i</w:t>
      </w:r>
      <w:r>
        <w:rPr>
          <w:rStyle w:val="A41"/>
          <w:rFonts w:ascii="Arial" w:hAnsi="Arial" w:cs="Arial"/>
          <w:color w:val="auto"/>
          <w:sz w:val="20"/>
          <w:szCs w:val="20"/>
        </w:rPr>
        <w:t>nterventions and measures,</w:t>
      </w:r>
      <w:r w:rsidRPr="00CE51C4">
        <w:rPr>
          <w:rStyle w:val="A41"/>
          <w:rFonts w:ascii="Arial" w:hAnsi="Arial" w:cs="Arial"/>
          <w:color w:val="auto"/>
          <w:sz w:val="20"/>
          <w:szCs w:val="20"/>
        </w:rPr>
        <w:t xml:space="preserve"> reflecting the different treatment systems and policy environments in the countries involved</w:t>
      </w:r>
      <w:r w:rsidR="00B7242F">
        <w:rPr>
          <w:rStyle w:val="A41"/>
          <w:rFonts w:ascii="Arial" w:hAnsi="Arial" w:cs="Arial"/>
          <w:color w:val="auto"/>
          <w:sz w:val="20"/>
          <w:szCs w:val="20"/>
        </w:rPr>
        <w:t>. However</w:t>
      </w:r>
      <w:r w:rsidRPr="00CE51C4">
        <w:rPr>
          <w:rStyle w:val="A41"/>
          <w:rFonts w:ascii="Arial" w:hAnsi="Arial" w:cs="Arial"/>
          <w:color w:val="auto"/>
          <w:sz w:val="20"/>
          <w:szCs w:val="20"/>
        </w:rPr>
        <w:t>, the main underlying objective of the trials in Germany, Spain, the Netherlands, Switzerland, Canada and</w:t>
      </w:r>
      <w:r w:rsidR="00B7242F">
        <w:rPr>
          <w:rStyle w:val="A41"/>
          <w:rFonts w:ascii="Arial" w:hAnsi="Arial" w:cs="Arial"/>
          <w:color w:val="auto"/>
          <w:sz w:val="20"/>
          <w:szCs w:val="20"/>
        </w:rPr>
        <w:t xml:space="preserve"> </w:t>
      </w:r>
      <w:r w:rsidRPr="00CE51C4">
        <w:rPr>
          <w:rStyle w:val="A41"/>
          <w:rFonts w:ascii="Arial" w:hAnsi="Arial" w:cs="Arial"/>
          <w:color w:val="auto"/>
          <w:sz w:val="20"/>
          <w:szCs w:val="20"/>
        </w:rPr>
        <w:t>the United Kingdom has been to determine the therapeutic value of medical heroin prescription as second-line treatment for high-risk heroin users for whom such benefits cannot be expected or achieved from existing treatment options</w:t>
      </w:r>
    </w:p>
    <w:p w14:paraId="20D017CB" w14:textId="77777777" w:rsidR="00B7242F" w:rsidRDefault="00B7242F" w:rsidP="00B7242F">
      <w:pPr>
        <w:spacing w:line="360" w:lineRule="auto"/>
        <w:rPr>
          <w:rFonts w:ascii="Arial" w:eastAsia="Arial" w:hAnsi="Arial"/>
          <w:u w:val="single"/>
        </w:rPr>
      </w:pPr>
    </w:p>
    <w:p w14:paraId="6A2D7F04" w14:textId="77777777" w:rsidR="00B7242F" w:rsidRPr="00B7242F" w:rsidRDefault="00B7242F" w:rsidP="00B7242F">
      <w:pPr>
        <w:spacing w:line="276" w:lineRule="auto"/>
        <w:rPr>
          <w:rFonts w:ascii="Arial" w:eastAsia="Arial" w:hAnsi="Arial"/>
          <w:u w:val="single"/>
        </w:rPr>
      </w:pPr>
      <w:r w:rsidRPr="00B7242F">
        <w:rPr>
          <w:rFonts w:ascii="Arial" w:eastAsia="Arial" w:hAnsi="Arial"/>
          <w:u w:val="single"/>
        </w:rPr>
        <w:t>Eligibility criteria</w:t>
      </w:r>
    </w:p>
    <w:p w14:paraId="6E6EA619" w14:textId="77777777" w:rsidR="00B7242F" w:rsidRPr="00B7242F" w:rsidRDefault="00B7242F" w:rsidP="00B7242F">
      <w:pPr>
        <w:spacing w:line="276" w:lineRule="auto"/>
        <w:jc w:val="both"/>
        <w:rPr>
          <w:rStyle w:val="A41"/>
          <w:rFonts w:ascii="Arial" w:hAnsi="Arial" w:cs="Arial"/>
          <w:color w:val="auto"/>
          <w:sz w:val="20"/>
          <w:szCs w:val="20"/>
        </w:rPr>
      </w:pPr>
      <w:r w:rsidRPr="00B7242F">
        <w:rPr>
          <w:rStyle w:val="A41"/>
          <w:rFonts w:ascii="Arial" w:hAnsi="Arial" w:cs="Arial"/>
          <w:color w:val="auto"/>
          <w:sz w:val="20"/>
          <w:szCs w:val="20"/>
        </w:rPr>
        <w:t>Participants across the six trials were daily heroin users with a stipulated minimum history of opiate dependency ranging between two (Switzerland (1) and Spain) and five (the Netherlands, Germany, Canada) years, commonly between 18 and 65 years of age at enrolment, who were residents of the supervised injecting clinic area. Also, they had a history of at least two unsuccessful treatment attempts, although there was variation with regard to their current treatment status at the time of enrolment, with the differences across the trials described in more detail below. Exclusion criteria, where specified, included the presence of active symptoms of a severe psychiatric disorder, a pending prison sentence, a recent (past 12 months) episode of abstinence, a severe physical disorder or pregnancy.</w:t>
      </w:r>
    </w:p>
    <w:p w14:paraId="25E711A2" w14:textId="77777777" w:rsidR="00B7242F" w:rsidRDefault="00B7242F" w:rsidP="00B7242F">
      <w:pPr>
        <w:spacing w:line="276" w:lineRule="auto"/>
        <w:jc w:val="both"/>
        <w:rPr>
          <w:rStyle w:val="A41"/>
        </w:rPr>
      </w:pPr>
    </w:p>
    <w:p w14:paraId="2C9C33C4" w14:textId="77777777" w:rsidR="00055A1E" w:rsidRPr="0005305F" w:rsidRDefault="00055A1E" w:rsidP="00B7242F">
      <w:pPr>
        <w:spacing w:line="276" w:lineRule="auto"/>
        <w:jc w:val="both"/>
        <w:rPr>
          <w:rFonts w:ascii="Arial" w:eastAsia="Arial" w:hAnsi="Arial"/>
          <w:u w:val="single"/>
        </w:rPr>
      </w:pPr>
      <w:r w:rsidRPr="0005305F">
        <w:rPr>
          <w:rFonts w:ascii="Arial" w:eastAsia="Arial" w:hAnsi="Arial"/>
          <w:u w:val="single"/>
        </w:rPr>
        <w:t>Retention</w:t>
      </w:r>
    </w:p>
    <w:p w14:paraId="7F7ABDB7" w14:textId="77777777" w:rsidR="00055A1E" w:rsidRPr="0005305F" w:rsidRDefault="00055A1E" w:rsidP="00B7242F">
      <w:pPr>
        <w:spacing w:line="276" w:lineRule="auto"/>
        <w:ind w:right="260"/>
        <w:jc w:val="both"/>
        <w:rPr>
          <w:rFonts w:ascii="Arial" w:eastAsia="Arial" w:hAnsi="Arial"/>
        </w:rPr>
      </w:pPr>
      <w:r w:rsidRPr="0005305F">
        <w:rPr>
          <w:rFonts w:ascii="Arial" w:eastAsia="Arial" w:hAnsi="Arial"/>
        </w:rPr>
        <w:t>Retention in treatment appears to be similar or greater for patients in SIH than those engaging in oral methadone substitution therapy. Although this effect varied significantly across the trials, trials consistently reported good retention in the SIH group. Retention in the control groups was more varied.</w:t>
      </w:r>
    </w:p>
    <w:p w14:paraId="22CD1BAE" w14:textId="77777777" w:rsidR="00055A1E" w:rsidRPr="0005305F" w:rsidRDefault="00055A1E" w:rsidP="00B7242F">
      <w:pPr>
        <w:spacing w:line="276" w:lineRule="auto"/>
        <w:jc w:val="both"/>
        <w:rPr>
          <w:rFonts w:ascii="Arial" w:eastAsia="Arial" w:hAnsi="Arial"/>
        </w:rPr>
      </w:pPr>
    </w:p>
    <w:p w14:paraId="31ABA1FA" w14:textId="77777777" w:rsidR="00055A1E" w:rsidRPr="0005305F" w:rsidRDefault="00055A1E" w:rsidP="00B7242F">
      <w:pPr>
        <w:spacing w:line="276" w:lineRule="auto"/>
        <w:jc w:val="both"/>
        <w:rPr>
          <w:rFonts w:ascii="Arial" w:eastAsia="Arial" w:hAnsi="Arial"/>
          <w:u w:val="single"/>
        </w:rPr>
      </w:pPr>
      <w:r w:rsidRPr="0005305F">
        <w:rPr>
          <w:rFonts w:ascii="Arial" w:eastAsia="Arial" w:hAnsi="Arial"/>
          <w:u w:val="single"/>
        </w:rPr>
        <w:t>‘Street’ heroin and other drug use</w:t>
      </w:r>
    </w:p>
    <w:p w14:paraId="2071BD67" w14:textId="77777777" w:rsidR="00055A1E" w:rsidRPr="0005305F" w:rsidRDefault="00055A1E" w:rsidP="00B7242F">
      <w:pPr>
        <w:spacing w:line="276" w:lineRule="auto"/>
        <w:ind w:right="60"/>
        <w:jc w:val="both"/>
        <w:rPr>
          <w:rFonts w:ascii="Arial" w:eastAsia="Arial" w:hAnsi="Arial"/>
        </w:rPr>
      </w:pPr>
      <w:r w:rsidRPr="0005305F">
        <w:rPr>
          <w:rFonts w:ascii="Arial" w:eastAsia="Arial" w:hAnsi="Arial"/>
        </w:rPr>
        <w:t>Compared with oral methadone substitution, treatment with heroin brings about additional reductions in illicit heroin use, although in both treatments this is markedly reduced. Cocaine use, where it was reported, had either not changed or reduced at a comparable rate across the two treatment types.</w:t>
      </w:r>
    </w:p>
    <w:p w14:paraId="467BDA21" w14:textId="77777777" w:rsidR="0005305F" w:rsidRDefault="0005305F" w:rsidP="00B7242F">
      <w:pPr>
        <w:spacing w:line="276" w:lineRule="auto"/>
        <w:ind w:right="60"/>
        <w:jc w:val="both"/>
        <w:rPr>
          <w:rFonts w:ascii="Arial" w:eastAsia="Arial" w:hAnsi="Arial"/>
        </w:rPr>
      </w:pPr>
    </w:p>
    <w:p w14:paraId="186C094B" w14:textId="77777777" w:rsidR="00055A1E" w:rsidRPr="0005305F" w:rsidRDefault="00055A1E" w:rsidP="00B7242F">
      <w:pPr>
        <w:spacing w:line="276" w:lineRule="auto"/>
        <w:ind w:right="220"/>
        <w:jc w:val="both"/>
        <w:rPr>
          <w:rFonts w:ascii="Arial" w:eastAsia="Arial" w:hAnsi="Arial"/>
          <w:u w:val="single"/>
        </w:rPr>
      </w:pPr>
      <w:r w:rsidRPr="0005305F">
        <w:rPr>
          <w:rFonts w:ascii="Arial" w:eastAsia="Arial" w:hAnsi="Arial"/>
          <w:u w:val="single"/>
        </w:rPr>
        <w:t>Health, health-related quality of life and social functioning (integration at work, family relationship)</w:t>
      </w:r>
    </w:p>
    <w:p w14:paraId="03AD4BE8" w14:textId="77777777" w:rsidR="00055A1E" w:rsidRPr="0005305F" w:rsidRDefault="00055A1E" w:rsidP="00B7242F">
      <w:pPr>
        <w:spacing w:line="276" w:lineRule="auto"/>
        <w:ind w:right="100"/>
        <w:jc w:val="both"/>
        <w:rPr>
          <w:rFonts w:ascii="Arial" w:eastAsia="Arial" w:hAnsi="Arial"/>
        </w:rPr>
      </w:pPr>
      <w:r w:rsidRPr="0005305F">
        <w:rPr>
          <w:rFonts w:ascii="Arial" w:eastAsia="Arial" w:hAnsi="Arial"/>
        </w:rPr>
        <w:t>Patients undergoing SIH treatment have experienced significant physical and mental health improvements compared with patients receiving conventional oral substitution prescribing. However, heroin treatment has not been consistently or substantially superior across all studies and outcomes, particularly the health and psychosocial functioning domains.</w:t>
      </w:r>
    </w:p>
    <w:p w14:paraId="2A45A59A" w14:textId="77777777" w:rsidR="00055A1E" w:rsidRDefault="00055A1E" w:rsidP="00B7242F">
      <w:pPr>
        <w:spacing w:line="276" w:lineRule="auto"/>
        <w:ind w:right="100"/>
        <w:jc w:val="both"/>
        <w:rPr>
          <w:rFonts w:ascii="Arial" w:eastAsia="Arial" w:hAnsi="Arial"/>
        </w:rPr>
      </w:pPr>
    </w:p>
    <w:p w14:paraId="4CEEBFC3" w14:textId="77777777" w:rsidR="006A3479" w:rsidRDefault="006A3479" w:rsidP="00B7242F">
      <w:pPr>
        <w:spacing w:line="276" w:lineRule="auto"/>
        <w:ind w:right="100"/>
        <w:jc w:val="both"/>
        <w:rPr>
          <w:rFonts w:ascii="Arial" w:eastAsia="Arial" w:hAnsi="Arial"/>
        </w:rPr>
      </w:pPr>
    </w:p>
    <w:p w14:paraId="7E3F8C3B" w14:textId="77777777" w:rsidR="006A3479" w:rsidRPr="0005305F" w:rsidRDefault="006A3479" w:rsidP="00B7242F">
      <w:pPr>
        <w:spacing w:line="276" w:lineRule="auto"/>
        <w:ind w:right="100"/>
        <w:jc w:val="both"/>
        <w:rPr>
          <w:rFonts w:ascii="Arial" w:eastAsia="Arial" w:hAnsi="Arial"/>
        </w:rPr>
      </w:pPr>
    </w:p>
    <w:p w14:paraId="66F39EF4" w14:textId="77777777" w:rsidR="00055A1E" w:rsidRPr="0005305F" w:rsidRDefault="00055A1E" w:rsidP="00B7242F">
      <w:pPr>
        <w:spacing w:line="276" w:lineRule="auto"/>
        <w:jc w:val="both"/>
        <w:rPr>
          <w:rFonts w:ascii="Arial" w:eastAsia="Arial" w:hAnsi="Arial"/>
          <w:u w:val="single"/>
        </w:rPr>
      </w:pPr>
      <w:r w:rsidRPr="0005305F">
        <w:rPr>
          <w:rFonts w:ascii="Arial" w:eastAsia="Arial" w:hAnsi="Arial"/>
          <w:u w:val="single"/>
        </w:rPr>
        <w:t>Criminal offences</w:t>
      </w:r>
    </w:p>
    <w:p w14:paraId="2B25E9A8" w14:textId="77777777" w:rsidR="00055A1E" w:rsidRPr="0005305F" w:rsidRDefault="00055A1E" w:rsidP="00B7242F">
      <w:pPr>
        <w:spacing w:line="276" w:lineRule="auto"/>
        <w:ind w:right="200"/>
        <w:jc w:val="both"/>
        <w:rPr>
          <w:rFonts w:ascii="Arial" w:eastAsia="Arial" w:hAnsi="Arial"/>
        </w:rPr>
      </w:pPr>
      <w:r w:rsidRPr="0005305F">
        <w:rPr>
          <w:rFonts w:ascii="Arial" w:eastAsia="Arial" w:hAnsi="Arial"/>
        </w:rPr>
        <w:lastRenderedPageBreak/>
        <w:t>Trials that have reported findings in the crime domain stated that crime — self-reported or reported by official databases — had reduced, compared with levels at entry to SIH treatment and where available to controls (with the exception of the Spanish and the Canadian trials).</w:t>
      </w:r>
    </w:p>
    <w:p w14:paraId="6881A4E6" w14:textId="77777777" w:rsidR="00055A1E" w:rsidRPr="0005305F" w:rsidRDefault="00055A1E" w:rsidP="00B7242F">
      <w:pPr>
        <w:spacing w:line="276" w:lineRule="auto"/>
        <w:ind w:right="100"/>
        <w:jc w:val="both"/>
        <w:rPr>
          <w:rFonts w:ascii="Arial" w:eastAsia="Arial" w:hAnsi="Arial"/>
        </w:rPr>
      </w:pPr>
    </w:p>
    <w:p w14:paraId="50A007B6" w14:textId="77777777" w:rsidR="00055A1E" w:rsidRPr="0005305F" w:rsidRDefault="00055A1E" w:rsidP="00B7242F">
      <w:pPr>
        <w:spacing w:line="276" w:lineRule="auto"/>
        <w:jc w:val="both"/>
        <w:rPr>
          <w:rFonts w:ascii="Arial" w:eastAsia="Arial" w:hAnsi="Arial"/>
          <w:u w:val="single"/>
        </w:rPr>
      </w:pPr>
      <w:r w:rsidRPr="0005305F">
        <w:rPr>
          <w:rFonts w:ascii="Arial" w:eastAsia="Arial" w:hAnsi="Arial"/>
          <w:u w:val="single"/>
        </w:rPr>
        <w:t>Safety</w:t>
      </w:r>
    </w:p>
    <w:p w14:paraId="2654AA22" w14:textId="77777777" w:rsidR="00841B0A" w:rsidRPr="0005305F" w:rsidRDefault="00841B0A" w:rsidP="00B7242F">
      <w:pPr>
        <w:spacing w:line="276" w:lineRule="auto"/>
        <w:ind w:right="380"/>
        <w:jc w:val="both"/>
        <w:rPr>
          <w:rFonts w:ascii="Arial" w:eastAsia="Arial" w:hAnsi="Arial"/>
        </w:rPr>
      </w:pPr>
      <w:r w:rsidRPr="0005305F">
        <w:rPr>
          <w:rFonts w:ascii="Arial" w:eastAsia="Arial" w:hAnsi="Arial"/>
        </w:rPr>
        <w:t>More SAEs have been reported to occur in patients receiving SIH than in those receiving oral methadone. This suggests that SIH may be less safe and therefore requires more resources and clinical attention in order to manage greater safety issues.</w:t>
      </w:r>
    </w:p>
    <w:p w14:paraId="190FAC1A" w14:textId="77777777" w:rsidR="00841B0A" w:rsidRPr="0005305F" w:rsidRDefault="00841B0A" w:rsidP="00B7242F">
      <w:pPr>
        <w:spacing w:line="276" w:lineRule="auto"/>
        <w:ind w:right="100"/>
        <w:jc w:val="both"/>
        <w:rPr>
          <w:rFonts w:ascii="Arial" w:eastAsia="Arial" w:hAnsi="Arial"/>
        </w:rPr>
      </w:pPr>
    </w:p>
    <w:p w14:paraId="094A1B72" w14:textId="77777777" w:rsidR="0005305F" w:rsidRPr="0005305F" w:rsidRDefault="0005305F" w:rsidP="00B7242F">
      <w:pPr>
        <w:spacing w:line="276" w:lineRule="auto"/>
        <w:ind w:right="140"/>
        <w:jc w:val="both"/>
        <w:rPr>
          <w:rFonts w:ascii="Arial" w:eastAsia="Arial" w:hAnsi="Arial"/>
          <w:color w:val="000F67"/>
          <w:u w:val="single"/>
        </w:rPr>
      </w:pPr>
      <w:r w:rsidRPr="0005305F">
        <w:rPr>
          <w:rFonts w:ascii="Arial" w:eastAsia="Arial" w:hAnsi="Arial"/>
          <w:color w:val="000F67"/>
          <w:u w:val="single"/>
        </w:rPr>
        <w:t>I</w:t>
      </w:r>
      <w:r w:rsidRPr="0005305F">
        <w:rPr>
          <w:rFonts w:ascii="Arial" w:eastAsia="Arial" w:hAnsi="Arial"/>
          <w:u w:val="single"/>
        </w:rPr>
        <w:t>mpact of supervised injectable heroin clinics and service provision on local communities</w:t>
      </w:r>
    </w:p>
    <w:p w14:paraId="7B0B8827" w14:textId="77777777" w:rsidR="0005305F" w:rsidRDefault="0005305F" w:rsidP="00B7242F">
      <w:pPr>
        <w:spacing w:line="276" w:lineRule="auto"/>
        <w:ind w:right="80"/>
        <w:jc w:val="both"/>
        <w:rPr>
          <w:rFonts w:ascii="Arial" w:eastAsia="Arial" w:hAnsi="Arial"/>
        </w:rPr>
      </w:pPr>
      <w:r w:rsidRPr="0005305F">
        <w:rPr>
          <w:rFonts w:ascii="Arial" w:eastAsia="Arial" w:hAnsi="Arial"/>
        </w:rPr>
        <w:t>While a definite conclusion is difficult, owing to the small study samples and the fact that many extrinsic factors may be involved in shaping the process around observed local crime and disorder trends, available data consistently suggest no positive or negative effects of SIH clinics on public safety. Future research attention will also need to address the perceived public nuisance, security and potential for diversion where SIH unfolds outside of the research context.</w:t>
      </w:r>
    </w:p>
    <w:p w14:paraId="047332AA" w14:textId="77777777" w:rsidR="00EA5BAA" w:rsidRDefault="00EA5BAA" w:rsidP="00B7242F">
      <w:pPr>
        <w:spacing w:line="276" w:lineRule="auto"/>
        <w:jc w:val="both"/>
        <w:rPr>
          <w:rFonts w:ascii="Arial" w:eastAsia="Arial" w:hAnsi="Arial"/>
          <w:color w:val="000F67"/>
          <w:sz w:val="22"/>
        </w:rPr>
      </w:pPr>
    </w:p>
    <w:p w14:paraId="526B45D9" w14:textId="77777777" w:rsidR="0005305F" w:rsidRPr="00CE51C4" w:rsidRDefault="0005305F" w:rsidP="00B7242F">
      <w:pPr>
        <w:spacing w:line="276" w:lineRule="auto"/>
        <w:rPr>
          <w:rFonts w:ascii="Arial" w:eastAsia="Arial" w:hAnsi="Arial"/>
          <w:u w:val="single"/>
        </w:rPr>
      </w:pPr>
      <w:r w:rsidRPr="00CE51C4">
        <w:rPr>
          <w:rFonts w:ascii="Arial" w:eastAsia="Arial" w:hAnsi="Arial"/>
          <w:u w:val="single"/>
        </w:rPr>
        <w:t>Long-term trajectories</w:t>
      </w:r>
    </w:p>
    <w:p w14:paraId="78638878" w14:textId="77777777" w:rsidR="0005305F" w:rsidRPr="00EA5BAA" w:rsidRDefault="0005305F" w:rsidP="00B7242F">
      <w:pPr>
        <w:spacing w:line="276" w:lineRule="auto"/>
        <w:jc w:val="both"/>
        <w:rPr>
          <w:rFonts w:ascii="Arial" w:eastAsia="Arial" w:hAnsi="Arial"/>
        </w:rPr>
      </w:pPr>
      <w:r w:rsidRPr="00EA5BAA">
        <w:rPr>
          <w:rFonts w:ascii="Arial" w:eastAsia="Arial" w:hAnsi="Arial"/>
        </w:rPr>
        <w:t>The findings of extended (2- to 6-year) follow-up studies are an important addition to the shorter (6- to 12-month) data available about treating this most difficult group of heroin users. Retention in SIH treatment is still high at 2- (44 %; Oviedo-</w:t>
      </w:r>
      <w:proofErr w:type="spellStart"/>
      <w:r w:rsidRPr="00EA5BAA">
        <w:rPr>
          <w:rFonts w:ascii="Arial" w:eastAsia="Arial" w:hAnsi="Arial"/>
        </w:rPr>
        <w:t>Joekes</w:t>
      </w:r>
      <w:proofErr w:type="spellEnd"/>
      <w:r w:rsidRPr="00EA5BAA">
        <w:rPr>
          <w:rFonts w:ascii="Arial" w:eastAsia="Arial" w:hAnsi="Arial"/>
        </w:rPr>
        <w:t xml:space="preserve"> et al., 2010), 2.5- (50 %; Rehm et al., 2001), 4- (56 %; </w:t>
      </w:r>
      <w:proofErr w:type="spellStart"/>
      <w:r w:rsidRPr="00EA5BAA">
        <w:rPr>
          <w:rFonts w:ascii="Arial" w:eastAsia="Arial" w:hAnsi="Arial"/>
        </w:rPr>
        <w:t>Blanken</w:t>
      </w:r>
      <w:proofErr w:type="spellEnd"/>
      <w:r w:rsidRPr="00EA5BAA">
        <w:rPr>
          <w:rFonts w:ascii="Arial" w:eastAsia="Arial" w:hAnsi="Arial"/>
        </w:rPr>
        <w:t xml:space="preserve"> et al., 2010) and 6-year (40 %; </w:t>
      </w:r>
      <w:proofErr w:type="spellStart"/>
      <w:r w:rsidRPr="00EA5BAA">
        <w:rPr>
          <w:rFonts w:ascii="Arial" w:eastAsia="Arial" w:hAnsi="Arial"/>
        </w:rPr>
        <w:t>Güttinger</w:t>
      </w:r>
      <w:proofErr w:type="spellEnd"/>
      <w:r w:rsidRPr="00EA5BAA">
        <w:rPr>
          <w:rFonts w:ascii="Arial" w:eastAsia="Arial" w:hAnsi="Arial"/>
        </w:rPr>
        <w:t xml:space="preserve"> et al., 2003) follow-up. There is consistency in the finding of sustained and additional benefit in terms of reduced drug use and improved health status and social functioning. Different studies, however, have used different outcome measures, making direct comparisons difficult and presenting challenges for sought-after firm conclusions about the long-term benefit of SIH treatment. It is imperative that the collection of comparable data is continued as we begin to develop an evidence base, capturing any remission to illicit drug use, elimination of related problems and, more importantly, enhanced quality of life and social functioning of patients in long-term SIH treatment.</w:t>
      </w:r>
    </w:p>
    <w:p w14:paraId="1D77605A" w14:textId="77777777" w:rsidR="0005305F" w:rsidRDefault="0005305F" w:rsidP="00B7242F">
      <w:pPr>
        <w:spacing w:line="276" w:lineRule="auto"/>
        <w:ind w:right="20"/>
        <w:jc w:val="both"/>
        <w:rPr>
          <w:rFonts w:ascii="Arial" w:eastAsia="Arial" w:hAnsi="Arial"/>
          <w:sz w:val="18"/>
        </w:rPr>
      </w:pPr>
    </w:p>
    <w:p w14:paraId="07B820CF" w14:textId="77777777" w:rsidR="00EA5BAA" w:rsidRPr="00B7242F" w:rsidRDefault="00EA5BAA" w:rsidP="00B7242F">
      <w:pPr>
        <w:spacing w:line="276" w:lineRule="auto"/>
        <w:rPr>
          <w:rFonts w:ascii="Arial" w:eastAsia="Arial" w:hAnsi="Arial"/>
          <w:u w:val="single"/>
        </w:rPr>
      </w:pPr>
      <w:r w:rsidRPr="00B7242F">
        <w:rPr>
          <w:rFonts w:ascii="Arial" w:eastAsia="Arial" w:hAnsi="Arial"/>
          <w:u w:val="single"/>
        </w:rPr>
        <w:t>Patients’ perspectives</w:t>
      </w:r>
    </w:p>
    <w:p w14:paraId="3DCF5CF2" w14:textId="77777777" w:rsidR="00EA5BAA" w:rsidRPr="00EA5BAA" w:rsidRDefault="00EA5BAA" w:rsidP="00B7242F">
      <w:pPr>
        <w:spacing w:line="276" w:lineRule="auto"/>
        <w:jc w:val="both"/>
        <w:rPr>
          <w:rFonts w:ascii="Arial" w:eastAsia="Arial" w:hAnsi="Arial"/>
        </w:rPr>
      </w:pPr>
      <w:r w:rsidRPr="00EA5BAA">
        <w:rPr>
          <w:rFonts w:ascii="Arial" w:eastAsia="Arial" w:hAnsi="Arial"/>
        </w:rPr>
        <w:t xml:space="preserve">A qualitative study (Romo et al., 2009) involving 21 patients receiving SIH treatment was conducted in the final phase of the RCT of injectable treatment in Spain. The findings of this study recognised that SIH treatment not only offered patients ‘legal medicine’, that is pharmaceutical-grade heroin, but also fundamentally changed the situation in which heroin was acquired and administered by patients. In addition, the contextual change was associated with improvements in a range of areas of patients’ lives, such as physical and mental health, family relationships and work. </w:t>
      </w:r>
      <w:proofErr w:type="spellStart"/>
      <w:r w:rsidRPr="00EA5BAA">
        <w:rPr>
          <w:rFonts w:ascii="Arial" w:eastAsia="Arial" w:hAnsi="Arial"/>
        </w:rPr>
        <w:t>Blanken</w:t>
      </w:r>
      <w:proofErr w:type="spellEnd"/>
      <w:r w:rsidRPr="00EA5BAA">
        <w:rPr>
          <w:rFonts w:ascii="Arial" w:eastAsia="Arial" w:hAnsi="Arial"/>
        </w:rPr>
        <w:t xml:space="preserve"> et al. (2010b), based on the qualitative accounts of 24 patients receiving heroin in the Dutch trials, provided further evidence for the consistency in patients’ appreciation of the quality of prescribed heroin and the positive experience of the structure provided by the injectable maintenance clinics, as well as the availability of a secure supply of pharmaceutical heroin.</w:t>
      </w:r>
    </w:p>
    <w:p w14:paraId="572D8F26" w14:textId="77777777" w:rsidR="00EA5BAA" w:rsidRDefault="00EA5BAA" w:rsidP="00B7242F">
      <w:pPr>
        <w:spacing w:line="276" w:lineRule="auto"/>
        <w:ind w:right="20"/>
        <w:jc w:val="both"/>
        <w:rPr>
          <w:rFonts w:ascii="Arial" w:eastAsia="Arial" w:hAnsi="Arial"/>
          <w:sz w:val="18"/>
        </w:rPr>
      </w:pPr>
    </w:p>
    <w:p w14:paraId="09D9797A" w14:textId="77777777" w:rsidR="00EA5BAA" w:rsidRDefault="00EA5BAA" w:rsidP="00AA0665">
      <w:pPr>
        <w:spacing w:line="313" w:lineRule="auto"/>
        <w:ind w:right="20"/>
        <w:jc w:val="both"/>
        <w:rPr>
          <w:rFonts w:ascii="Arial" w:eastAsia="Arial" w:hAnsi="Arial"/>
          <w:sz w:val="18"/>
        </w:rPr>
      </w:pPr>
    </w:p>
    <w:p w14:paraId="7715FA89" w14:textId="77777777" w:rsidR="00AC5DD8" w:rsidRDefault="00AC5DD8" w:rsidP="00AC5DD8">
      <w:pPr>
        <w:spacing w:line="313" w:lineRule="auto"/>
        <w:ind w:right="20"/>
        <w:jc w:val="center"/>
        <w:rPr>
          <w:rFonts w:ascii="Arial" w:eastAsia="Arial" w:hAnsi="Arial"/>
          <w:b/>
          <w:sz w:val="22"/>
          <w:szCs w:val="22"/>
        </w:rPr>
      </w:pPr>
    </w:p>
    <w:p w14:paraId="213942F9" w14:textId="77777777" w:rsidR="00CE51C4" w:rsidRDefault="00CE51C4" w:rsidP="00CE51C4">
      <w:pPr>
        <w:pStyle w:val="ListParagraph"/>
        <w:numPr>
          <w:ilvl w:val="0"/>
          <w:numId w:val="1"/>
        </w:numPr>
        <w:rPr>
          <w:rStyle w:val="A41"/>
          <w:rFonts w:ascii="Arial" w:hAnsi="Arial" w:cs="Arial"/>
          <w:b/>
          <w:color w:val="auto"/>
          <w:sz w:val="24"/>
          <w:szCs w:val="24"/>
        </w:rPr>
      </w:pPr>
      <w:r w:rsidRPr="00B7242F">
        <w:rPr>
          <w:rStyle w:val="A41"/>
          <w:rFonts w:ascii="Arial" w:hAnsi="Arial" w:cs="Arial"/>
          <w:b/>
          <w:color w:val="auto"/>
          <w:sz w:val="24"/>
          <w:szCs w:val="24"/>
        </w:rPr>
        <w:t>Cost effectiveness</w:t>
      </w:r>
    </w:p>
    <w:p w14:paraId="2CCAFED5" w14:textId="77777777" w:rsidR="00B7242F" w:rsidRDefault="00B7242F" w:rsidP="00B7242F">
      <w:pPr>
        <w:rPr>
          <w:rStyle w:val="A41"/>
          <w:rFonts w:ascii="Arial" w:hAnsi="Arial" w:cs="Arial"/>
          <w:b/>
          <w:color w:val="auto"/>
          <w:sz w:val="24"/>
          <w:szCs w:val="24"/>
        </w:rPr>
      </w:pPr>
    </w:p>
    <w:p w14:paraId="029F09F3" w14:textId="77777777" w:rsidR="00B7242F" w:rsidRDefault="00B7242F" w:rsidP="00B7242F">
      <w:pPr>
        <w:rPr>
          <w:rStyle w:val="A41"/>
          <w:rFonts w:ascii="Arial" w:hAnsi="Arial" w:cs="Arial"/>
          <w:color w:val="auto"/>
          <w:sz w:val="20"/>
          <w:szCs w:val="20"/>
        </w:rPr>
      </w:pPr>
      <w:r w:rsidRPr="00841B0A">
        <w:rPr>
          <w:rStyle w:val="A41"/>
          <w:rFonts w:ascii="Arial" w:hAnsi="Arial" w:cs="Arial"/>
          <w:color w:val="auto"/>
          <w:sz w:val="20"/>
          <w:szCs w:val="20"/>
        </w:rPr>
        <w:t xml:space="preserve">Strang, J., </w:t>
      </w:r>
      <w:proofErr w:type="spellStart"/>
      <w:r w:rsidRPr="00841B0A">
        <w:rPr>
          <w:rStyle w:val="A41"/>
          <w:rFonts w:ascii="Arial" w:hAnsi="Arial" w:cs="Arial"/>
          <w:color w:val="auto"/>
          <w:sz w:val="20"/>
          <w:szCs w:val="20"/>
        </w:rPr>
        <w:t>Groshkova</w:t>
      </w:r>
      <w:proofErr w:type="spellEnd"/>
      <w:r w:rsidRPr="00841B0A">
        <w:rPr>
          <w:rStyle w:val="A41"/>
          <w:rFonts w:ascii="Arial" w:hAnsi="Arial" w:cs="Arial"/>
          <w:color w:val="auto"/>
          <w:sz w:val="20"/>
          <w:szCs w:val="20"/>
        </w:rPr>
        <w:t xml:space="preserve">, T. and </w:t>
      </w:r>
      <w:proofErr w:type="spellStart"/>
      <w:r w:rsidRPr="00841B0A">
        <w:rPr>
          <w:rStyle w:val="A41"/>
          <w:rFonts w:ascii="Arial" w:hAnsi="Arial" w:cs="Arial"/>
          <w:color w:val="auto"/>
          <w:sz w:val="20"/>
          <w:szCs w:val="20"/>
        </w:rPr>
        <w:t>Metrebaian</w:t>
      </w:r>
      <w:proofErr w:type="spellEnd"/>
      <w:r w:rsidRPr="00841B0A">
        <w:rPr>
          <w:rStyle w:val="A41"/>
          <w:rFonts w:ascii="Arial" w:hAnsi="Arial" w:cs="Arial"/>
          <w:color w:val="auto"/>
          <w:sz w:val="20"/>
          <w:szCs w:val="20"/>
        </w:rPr>
        <w:t>, N.</w:t>
      </w:r>
      <w:r>
        <w:rPr>
          <w:rStyle w:val="A41"/>
          <w:rFonts w:ascii="Arial" w:hAnsi="Arial" w:cs="Arial"/>
          <w:i/>
          <w:color w:val="auto"/>
          <w:sz w:val="20"/>
          <w:szCs w:val="20"/>
        </w:rPr>
        <w:t xml:space="preserve"> </w:t>
      </w:r>
      <w:r w:rsidRPr="0005305F">
        <w:rPr>
          <w:rStyle w:val="A41"/>
          <w:rFonts w:ascii="Arial" w:hAnsi="Arial" w:cs="Arial"/>
          <w:b/>
          <w:i/>
          <w:color w:val="auto"/>
          <w:sz w:val="20"/>
          <w:szCs w:val="20"/>
        </w:rPr>
        <w:t>New heroin-assisted treatment: recent evidence and current practices of supervised injectable heroin treatment in Europe and beyond</w:t>
      </w:r>
      <w:r w:rsidRPr="0005305F">
        <w:rPr>
          <w:rStyle w:val="A41"/>
          <w:rFonts w:ascii="Arial" w:hAnsi="Arial" w:cs="Arial"/>
          <w:b/>
          <w:color w:val="auto"/>
          <w:sz w:val="20"/>
          <w:szCs w:val="20"/>
        </w:rPr>
        <w:t>.</w:t>
      </w:r>
      <w:r>
        <w:rPr>
          <w:rStyle w:val="A41"/>
          <w:rFonts w:ascii="Arial" w:hAnsi="Arial" w:cs="Arial"/>
          <w:color w:val="auto"/>
          <w:sz w:val="20"/>
          <w:szCs w:val="20"/>
        </w:rPr>
        <w:t xml:space="preserve"> </w:t>
      </w:r>
      <w:r w:rsidRPr="00841B0A">
        <w:rPr>
          <w:rStyle w:val="A41"/>
          <w:rFonts w:ascii="Arial" w:hAnsi="Arial" w:cs="Arial"/>
          <w:color w:val="auto"/>
          <w:sz w:val="20"/>
          <w:szCs w:val="20"/>
        </w:rPr>
        <w:t>European Monitoring Centre for Drugs and Drug Addiction</w:t>
      </w:r>
    </w:p>
    <w:p w14:paraId="2A4D5737" w14:textId="77777777" w:rsidR="00B7242F" w:rsidRDefault="00B7242F" w:rsidP="00B7242F">
      <w:pPr>
        <w:rPr>
          <w:rStyle w:val="A41"/>
          <w:rFonts w:ascii="Arial" w:hAnsi="Arial" w:cs="Arial"/>
          <w:color w:val="auto"/>
          <w:sz w:val="20"/>
          <w:szCs w:val="20"/>
        </w:rPr>
      </w:pPr>
    </w:p>
    <w:p w14:paraId="7417ABB3" w14:textId="77777777" w:rsidR="00B7242F" w:rsidRDefault="00963D67" w:rsidP="00B7242F">
      <w:pPr>
        <w:rPr>
          <w:rStyle w:val="A41"/>
          <w:rFonts w:ascii="Arial" w:hAnsi="Arial" w:cs="Arial"/>
          <w:color w:val="auto"/>
          <w:sz w:val="20"/>
          <w:szCs w:val="20"/>
        </w:rPr>
      </w:pPr>
      <w:hyperlink r:id="rId7" w:history="1">
        <w:r w:rsidR="00B7242F" w:rsidRPr="0072174A">
          <w:rPr>
            <w:rStyle w:val="Hyperlink"/>
            <w:rFonts w:ascii="Arial" w:hAnsi="Arial"/>
          </w:rPr>
          <w:t>http://www.emcdda.europa.eu/attachements.cfm/att_154996_EN_Heroin%20Insight.pdf</w:t>
        </w:r>
      </w:hyperlink>
    </w:p>
    <w:p w14:paraId="4B22F740" w14:textId="77777777" w:rsidR="00B7242F" w:rsidRDefault="00B7242F" w:rsidP="00B7242F">
      <w:pPr>
        <w:rPr>
          <w:rStyle w:val="A41"/>
          <w:rFonts w:ascii="Arial" w:hAnsi="Arial" w:cs="Arial"/>
          <w:b/>
          <w:color w:val="auto"/>
          <w:sz w:val="24"/>
          <w:szCs w:val="24"/>
        </w:rPr>
      </w:pPr>
    </w:p>
    <w:p w14:paraId="17742A98" w14:textId="77777777" w:rsidR="00B7242F" w:rsidRPr="00B7242F" w:rsidRDefault="00B7242F" w:rsidP="00B7242F">
      <w:pPr>
        <w:rPr>
          <w:rStyle w:val="A41"/>
          <w:rFonts w:ascii="Arial" w:hAnsi="Arial" w:cs="Arial"/>
          <w:b/>
          <w:color w:val="auto"/>
          <w:sz w:val="24"/>
          <w:szCs w:val="24"/>
        </w:rPr>
      </w:pPr>
    </w:p>
    <w:p w14:paraId="5E92C29D" w14:textId="77777777" w:rsidR="00B7242F" w:rsidRDefault="00B7242F" w:rsidP="00390678">
      <w:pPr>
        <w:spacing w:line="276" w:lineRule="auto"/>
        <w:ind w:right="40"/>
        <w:jc w:val="both"/>
        <w:rPr>
          <w:rFonts w:ascii="Arial" w:eastAsia="Arial" w:hAnsi="Arial"/>
        </w:rPr>
      </w:pPr>
      <w:r w:rsidRPr="00390678">
        <w:rPr>
          <w:rFonts w:ascii="Arial" w:eastAsia="Arial" w:hAnsi="Arial"/>
        </w:rPr>
        <w:lastRenderedPageBreak/>
        <w:t xml:space="preserve">Two publications </w:t>
      </w:r>
      <w:r w:rsidR="00390678" w:rsidRPr="00390678">
        <w:rPr>
          <w:rFonts w:ascii="Arial" w:eastAsia="Arial" w:hAnsi="Arial"/>
        </w:rPr>
        <w:t>from Switzerland (</w:t>
      </w:r>
      <w:proofErr w:type="spellStart"/>
      <w:r w:rsidR="00390678" w:rsidRPr="00390678">
        <w:rPr>
          <w:rFonts w:ascii="Arial" w:eastAsia="Arial" w:hAnsi="Arial"/>
        </w:rPr>
        <w:t>Gutzwiller</w:t>
      </w:r>
      <w:proofErr w:type="spellEnd"/>
      <w:r w:rsidR="00390678" w:rsidRPr="00390678">
        <w:rPr>
          <w:rFonts w:ascii="Arial" w:eastAsia="Arial" w:hAnsi="Arial"/>
        </w:rPr>
        <w:t xml:space="preserve"> and Steffen, 2000) </w:t>
      </w:r>
      <w:r w:rsidRPr="00390678">
        <w:rPr>
          <w:rFonts w:ascii="Arial" w:eastAsia="Arial" w:hAnsi="Arial"/>
        </w:rPr>
        <w:t xml:space="preserve">and </w:t>
      </w:r>
      <w:r w:rsidR="00390678" w:rsidRPr="00390678">
        <w:rPr>
          <w:rFonts w:ascii="Arial" w:eastAsia="Arial" w:hAnsi="Arial"/>
        </w:rPr>
        <w:t>Holland (</w:t>
      </w:r>
      <w:proofErr w:type="spellStart"/>
      <w:r w:rsidR="00390678" w:rsidRPr="00390678">
        <w:rPr>
          <w:rFonts w:ascii="Arial" w:eastAsia="Arial" w:hAnsi="Arial"/>
        </w:rPr>
        <w:t>Dijkgraaf</w:t>
      </w:r>
      <w:proofErr w:type="spellEnd"/>
      <w:r w:rsidR="00390678" w:rsidRPr="00390678">
        <w:rPr>
          <w:rFonts w:ascii="Arial" w:eastAsia="Arial" w:hAnsi="Arial"/>
        </w:rPr>
        <w:t xml:space="preserve"> et al., 2005) and an </w:t>
      </w:r>
      <w:r w:rsidRPr="00390678">
        <w:rPr>
          <w:rFonts w:ascii="Arial" w:eastAsia="Arial" w:hAnsi="Arial"/>
        </w:rPr>
        <w:t xml:space="preserve">unpublished economic analysis from Germany </w:t>
      </w:r>
      <w:r w:rsidR="00390678" w:rsidRPr="00390678">
        <w:rPr>
          <w:rFonts w:ascii="Arial" w:eastAsia="Arial" w:hAnsi="Arial"/>
        </w:rPr>
        <w:t>(</w:t>
      </w:r>
      <w:proofErr w:type="spellStart"/>
      <w:r w:rsidR="00390678" w:rsidRPr="00390678">
        <w:rPr>
          <w:rFonts w:ascii="Arial" w:eastAsia="Arial" w:hAnsi="Arial"/>
        </w:rPr>
        <w:t>Haasen</w:t>
      </w:r>
      <w:proofErr w:type="spellEnd"/>
      <w:r w:rsidR="00390678" w:rsidRPr="00390678">
        <w:rPr>
          <w:rFonts w:ascii="Arial" w:eastAsia="Arial" w:hAnsi="Arial"/>
        </w:rPr>
        <w:t xml:space="preserve">, 2009) </w:t>
      </w:r>
      <w:r w:rsidRPr="00390678">
        <w:rPr>
          <w:rFonts w:ascii="Arial" w:eastAsia="Arial" w:hAnsi="Arial"/>
        </w:rPr>
        <w:t>were identified</w:t>
      </w:r>
      <w:r w:rsidR="00390678" w:rsidRPr="00390678">
        <w:rPr>
          <w:rFonts w:ascii="Arial" w:eastAsia="Arial" w:hAnsi="Arial"/>
        </w:rPr>
        <w:t>.</w:t>
      </w:r>
      <w:r w:rsidRPr="00390678">
        <w:rPr>
          <w:rFonts w:ascii="Arial" w:eastAsia="Arial" w:hAnsi="Arial"/>
        </w:rPr>
        <w:t xml:space="preserve"> The three countries that have evaluated the costs and outcomes of heroin treatment have chosen different approaches to economic evaluation. The selection of one or another approach for economic analysis, that is cost–benefit (in the Swiss experiment) or cost–utility (within the German and Dutch trials), determines which cost categories are included in the analyses. Therefore, inclusion or not of different cost categories differ between the different studies. More importantly, the aim and outcome measures of the evaluation</w:t>
      </w:r>
      <w:r w:rsidR="00390678">
        <w:rPr>
          <w:rFonts w:ascii="Arial" w:eastAsia="Arial" w:hAnsi="Arial"/>
        </w:rPr>
        <w:t>s</w:t>
      </w:r>
      <w:r w:rsidRPr="00390678">
        <w:rPr>
          <w:rFonts w:ascii="Arial" w:eastAsia="Arial" w:hAnsi="Arial"/>
        </w:rPr>
        <w:t xml:space="preserve"> differ </w:t>
      </w:r>
      <w:r w:rsidR="00390678">
        <w:rPr>
          <w:rFonts w:ascii="Arial" w:eastAsia="Arial" w:hAnsi="Arial"/>
        </w:rPr>
        <w:t>and thus prevent</w:t>
      </w:r>
      <w:r w:rsidRPr="00390678">
        <w:rPr>
          <w:rFonts w:ascii="Arial" w:eastAsia="Arial" w:hAnsi="Arial"/>
        </w:rPr>
        <w:t xml:space="preserve"> comparison between the findings of the different research groups.</w:t>
      </w:r>
    </w:p>
    <w:p w14:paraId="3F40E01F" w14:textId="77777777" w:rsidR="00390678" w:rsidRDefault="00390678" w:rsidP="00390678">
      <w:pPr>
        <w:spacing w:line="276" w:lineRule="auto"/>
        <w:ind w:right="40"/>
        <w:jc w:val="both"/>
        <w:rPr>
          <w:rFonts w:ascii="Arial" w:eastAsia="Arial" w:hAnsi="Arial"/>
        </w:rPr>
      </w:pPr>
    </w:p>
    <w:p w14:paraId="36E2CBFF" w14:textId="77777777" w:rsidR="00390678" w:rsidRPr="00390678" w:rsidRDefault="00390678" w:rsidP="00390678">
      <w:pPr>
        <w:spacing w:line="307" w:lineRule="auto"/>
        <w:ind w:right="60"/>
        <w:jc w:val="both"/>
        <w:rPr>
          <w:rFonts w:ascii="Arial" w:eastAsia="Arial" w:hAnsi="Arial"/>
        </w:rPr>
      </w:pPr>
      <w:r w:rsidRPr="00390678">
        <w:rPr>
          <w:rFonts w:ascii="Arial" w:eastAsia="Arial" w:hAnsi="Arial"/>
        </w:rPr>
        <w:t>The reported cos</w:t>
      </w:r>
      <w:r>
        <w:rPr>
          <w:rFonts w:ascii="Arial" w:eastAsia="Arial" w:hAnsi="Arial"/>
        </w:rPr>
        <w:t>t per patient per year in an HAT</w:t>
      </w:r>
      <w:r w:rsidRPr="00390678">
        <w:rPr>
          <w:rFonts w:ascii="Arial" w:eastAsia="Arial" w:hAnsi="Arial"/>
        </w:rPr>
        <w:t xml:space="preserve"> maintenance programme was between EUR 12 700 and EUR 20 400. The lowest cost was reported by Switzerland at between EUR 12 700 and EUR 14 500, depending on the capacity of the outpatient treatment programme; EUR 19 000 was reported for Germany and EUR 20 400 for the Netherlands. SIH cost was substantially higher than the cost of oral methadone maintenance treatment provision at EUR 1 600 (the Netherlands) and at EUR 3 500 (Germany). This was largely because of higher staffing requirements for SIH provision — at least two staff members must be present at all times and it is necessary to supervise all injecting of heroin medication at the clinic. Therefore, clinics had to be open daily, and for extended hours. In addition, all programmes had employed therapists, social workers and other staff members to help clients deal with drug-related health and social problems.</w:t>
      </w:r>
    </w:p>
    <w:p w14:paraId="35B8BB19" w14:textId="77777777" w:rsidR="00390678" w:rsidRPr="00390678" w:rsidRDefault="00390678" w:rsidP="00390678">
      <w:pPr>
        <w:spacing w:line="307" w:lineRule="auto"/>
        <w:ind w:right="60"/>
        <w:jc w:val="both"/>
        <w:rPr>
          <w:rFonts w:ascii="Arial" w:eastAsia="Arial" w:hAnsi="Arial"/>
        </w:rPr>
      </w:pPr>
    </w:p>
    <w:p w14:paraId="0AEE702C" w14:textId="77777777" w:rsidR="00390678" w:rsidRPr="00390678" w:rsidRDefault="00390678" w:rsidP="00390678">
      <w:pPr>
        <w:spacing w:line="307" w:lineRule="auto"/>
        <w:ind w:right="60"/>
        <w:jc w:val="both"/>
        <w:rPr>
          <w:rFonts w:ascii="Arial" w:eastAsia="Arial" w:hAnsi="Arial"/>
        </w:rPr>
      </w:pPr>
      <w:r w:rsidRPr="00390678">
        <w:rPr>
          <w:rFonts w:ascii="Arial" w:eastAsia="Arial" w:hAnsi="Arial"/>
        </w:rPr>
        <w:t>Studies consistently demonstrated a cons</w:t>
      </w:r>
      <w:r>
        <w:rPr>
          <w:rFonts w:ascii="Arial" w:eastAsia="Arial" w:hAnsi="Arial"/>
        </w:rPr>
        <w:t>iderable economic benefit of HAT</w:t>
      </w:r>
      <w:r w:rsidRPr="00390678">
        <w:rPr>
          <w:rFonts w:ascii="Arial" w:eastAsia="Arial" w:hAnsi="Arial"/>
        </w:rPr>
        <w:t>, particularly from the reduction in the cost of criminal procedures and imprisonment. Based on the results of the studies from Germany and the Netherlands, which directly compared the cost and cost utility of heroin and oral methadone maintenance treatment, methadone maintenance appeared to be the less costly programme to provide. However, when costs of crime are included, heroin maintenance appeared to be more cost-effective.</w:t>
      </w:r>
    </w:p>
    <w:p w14:paraId="78520366" w14:textId="77777777" w:rsidR="00390678" w:rsidRPr="00390678" w:rsidRDefault="00390678" w:rsidP="00390678">
      <w:pPr>
        <w:spacing w:line="307" w:lineRule="auto"/>
        <w:ind w:right="60"/>
        <w:jc w:val="both"/>
        <w:rPr>
          <w:rFonts w:ascii="Arial" w:eastAsia="Arial" w:hAnsi="Arial"/>
        </w:rPr>
      </w:pPr>
    </w:p>
    <w:p w14:paraId="7D5961D4" w14:textId="77777777" w:rsidR="00390678" w:rsidRPr="00390678" w:rsidRDefault="00390678" w:rsidP="00390678">
      <w:pPr>
        <w:spacing w:line="307" w:lineRule="auto"/>
        <w:ind w:right="60"/>
        <w:jc w:val="both"/>
        <w:rPr>
          <w:rFonts w:ascii="Arial" w:eastAsia="Arial" w:hAnsi="Arial"/>
        </w:rPr>
      </w:pPr>
      <w:r w:rsidRPr="00390678">
        <w:rPr>
          <w:rFonts w:ascii="Arial" w:eastAsia="Arial" w:hAnsi="Arial"/>
        </w:rPr>
        <w:t>The Swiss study reported an annual socio-economic benefit of EUR 13 000 for each patient in heroin treatment, which was comparable to the finding of the Dutch group for a societal saving of EUR 15 000 per year for every patient maintained on heroin trea</w:t>
      </w:r>
      <w:r>
        <w:rPr>
          <w:rFonts w:ascii="Arial" w:eastAsia="Arial" w:hAnsi="Arial"/>
        </w:rPr>
        <w:t>tment. In the German cohort, HAT</w:t>
      </w:r>
      <w:r w:rsidRPr="00390678">
        <w:rPr>
          <w:rFonts w:ascii="Arial" w:eastAsia="Arial" w:hAnsi="Arial"/>
        </w:rPr>
        <w:t xml:space="preserve"> treatment</w:t>
      </w:r>
      <w:r>
        <w:rPr>
          <w:rFonts w:ascii="Arial" w:eastAsia="Arial" w:hAnsi="Arial"/>
        </w:rPr>
        <w:t xml:space="preserve"> generated savings of about EUR </w:t>
      </w:r>
      <w:r w:rsidRPr="00390678">
        <w:rPr>
          <w:rFonts w:ascii="Arial" w:eastAsia="Arial" w:hAnsi="Arial"/>
        </w:rPr>
        <w:t>6 000 per year from improved health, reduced offending and regained productivity. The German and Dutch studies reported a significant improvement in the quality of life in the heroin-maintained patients.</w:t>
      </w:r>
    </w:p>
    <w:p w14:paraId="690AF2EE" w14:textId="77777777" w:rsidR="00390678" w:rsidRPr="00390678" w:rsidRDefault="00390678" w:rsidP="00390678">
      <w:pPr>
        <w:spacing w:line="276" w:lineRule="auto"/>
        <w:ind w:right="40"/>
        <w:jc w:val="both"/>
        <w:rPr>
          <w:rFonts w:ascii="Arial" w:eastAsia="Arial" w:hAnsi="Arial"/>
        </w:rPr>
      </w:pPr>
    </w:p>
    <w:p w14:paraId="64168A79" w14:textId="77777777" w:rsidR="00CE51C4" w:rsidRDefault="00CE51C4" w:rsidP="00CE51C4">
      <w:pPr>
        <w:pStyle w:val="ListParagraph"/>
        <w:ind w:left="786"/>
        <w:rPr>
          <w:rStyle w:val="A41"/>
          <w:rFonts w:ascii="Arial" w:hAnsi="Arial" w:cs="Arial"/>
          <w:color w:val="auto"/>
          <w:sz w:val="20"/>
          <w:szCs w:val="20"/>
        </w:rPr>
      </w:pPr>
    </w:p>
    <w:p w14:paraId="4FCB2104" w14:textId="77777777" w:rsidR="00CE51C4" w:rsidRPr="00CE51C4" w:rsidRDefault="00CE51C4" w:rsidP="00CE51C4">
      <w:pPr>
        <w:pStyle w:val="ListParagraph"/>
        <w:ind w:left="786"/>
        <w:rPr>
          <w:rStyle w:val="A41"/>
          <w:rFonts w:ascii="Arial" w:hAnsi="Arial" w:cs="Arial"/>
          <w:color w:val="auto"/>
          <w:sz w:val="20"/>
          <w:szCs w:val="20"/>
        </w:rPr>
      </w:pPr>
    </w:p>
    <w:p w14:paraId="3EBE8738" w14:textId="77777777" w:rsidR="00CE51C4" w:rsidRPr="005D439F" w:rsidRDefault="00CE51C4" w:rsidP="00CE51C4">
      <w:pPr>
        <w:pStyle w:val="ListParagraph"/>
        <w:numPr>
          <w:ilvl w:val="0"/>
          <w:numId w:val="1"/>
        </w:numPr>
        <w:rPr>
          <w:rStyle w:val="A41"/>
          <w:rFonts w:ascii="Arial" w:hAnsi="Arial" w:cs="Arial"/>
          <w:b/>
          <w:color w:val="auto"/>
          <w:sz w:val="24"/>
          <w:szCs w:val="24"/>
        </w:rPr>
      </w:pPr>
      <w:r w:rsidRPr="005D439F">
        <w:rPr>
          <w:rStyle w:val="A41"/>
          <w:rFonts w:ascii="Arial" w:hAnsi="Arial" w:cs="Arial"/>
          <w:b/>
          <w:color w:val="auto"/>
          <w:sz w:val="24"/>
          <w:szCs w:val="24"/>
        </w:rPr>
        <w:t>Informed consent</w:t>
      </w:r>
    </w:p>
    <w:p w14:paraId="2E565758" w14:textId="77777777" w:rsidR="00142366" w:rsidRDefault="00142366" w:rsidP="00142366">
      <w:pPr>
        <w:pStyle w:val="ListParagraph"/>
        <w:ind w:left="786"/>
        <w:rPr>
          <w:rStyle w:val="A41"/>
          <w:rFonts w:ascii="Arial" w:hAnsi="Arial" w:cs="Arial"/>
          <w:color w:val="auto"/>
          <w:sz w:val="20"/>
          <w:szCs w:val="20"/>
        </w:rPr>
      </w:pPr>
    </w:p>
    <w:p w14:paraId="4161A94E" w14:textId="77777777" w:rsidR="00142366" w:rsidRPr="00CE51C4" w:rsidRDefault="00142366" w:rsidP="005D439F">
      <w:pPr>
        <w:pStyle w:val="ListParagraph"/>
        <w:spacing w:line="276" w:lineRule="auto"/>
        <w:ind w:left="0"/>
        <w:jc w:val="both"/>
        <w:rPr>
          <w:rStyle w:val="A41"/>
          <w:rFonts w:ascii="Arial" w:hAnsi="Arial" w:cs="Arial"/>
          <w:color w:val="auto"/>
          <w:sz w:val="20"/>
          <w:szCs w:val="20"/>
        </w:rPr>
      </w:pPr>
      <w:r>
        <w:rPr>
          <w:rStyle w:val="A41"/>
          <w:rFonts w:ascii="Arial" w:hAnsi="Arial" w:cs="Arial"/>
          <w:color w:val="auto"/>
          <w:sz w:val="20"/>
          <w:szCs w:val="20"/>
        </w:rPr>
        <w:t xml:space="preserve">At the same time research into the effectiveness and cost-effectiveness of HAT has been carried out, prominent bioethicists have debated whether or not a heroin addict can give informed consent to HAT. </w:t>
      </w:r>
      <w:proofErr w:type="spellStart"/>
      <w:r>
        <w:rPr>
          <w:rStyle w:val="A41"/>
          <w:rFonts w:ascii="Arial" w:hAnsi="Arial" w:cs="Arial"/>
          <w:color w:val="auto"/>
          <w:sz w:val="20"/>
          <w:szCs w:val="20"/>
        </w:rPr>
        <w:t>Charland</w:t>
      </w:r>
      <w:proofErr w:type="spellEnd"/>
      <w:r>
        <w:rPr>
          <w:rStyle w:val="A41"/>
          <w:rFonts w:ascii="Arial" w:hAnsi="Arial" w:cs="Arial"/>
          <w:color w:val="auto"/>
          <w:sz w:val="20"/>
          <w:szCs w:val="20"/>
        </w:rPr>
        <w:t xml:space="preserve"> (2010), among others, argue that it cannot be taken for granted that heroin addicts can give informed consent to this treatment modality, while this view has been opposed by bioethicists such as </w:t>
      </w:r>
      <w:proofErr w:type="spellStart"/>
      <w:r>
        <w:rPr>
          <w:rStyle w:val="A41"/>
          <w:rFonts w:ascii="Arial" w:hAnsi="Arial" w:cs="Arial"/>
          <w:color w:val="auto"/>
          <w:sz w:val="20"/>
          <w:szCs w:val="20"/>
        </w:rPr>
        <w:t>Foddy</w:t>
      </w:r>
      <w:proofErr w:type="spellEnd"/>
      <w:r>
        <w:rPr>
          <w:rStyle w:val="A41"/>
          <w:rFonts w:ascii="Arial" w:hAnsi="Arial" w:cs="Arial"/>
          <w:color w:val="auto"/>
          <w:sz w:val="20"/>
          <w:szCs w:val="20"/>
        </w:rPr>
        <w:t xml:space="preserve"> and Savulescu (2005). Carter (2008) suggest</w:t>
      </w:r>
      <w:r w:rsidR="005D439F">
        <w:rPr>
          <w:rStyle w:val="A41"/>
          <w:rFonts w:ascii="Arial" w:hAnsi="Arial" w:cs="Arial"/>
          <w:color w:val="auto"/>
          <w:sz w:val="20"/>
          <w:szCs w:val="20"/>
        </w:rPr>
        <w:t>s</w:t>
      </w:r>
      <w:r>
        <w:rPr>
          <w:rStyle w:val="A41"/>
          <w:rFonts w:ascii="Arial" w:hAnsi="Arial" w:cs="Arial"/>
          <w:color w:val="auto"/>
          <w:sz w:val="20"/>
          <w:szCs w:val="20"/>
        </w:rPr>
        <w:t xml:space="preserve"> that “</w:t>
      </w:r>
      <w:r w:rsidR="005D439F" w:rsidRPr="005D439F">
        <w:rPr>
          <w:rStyle w:val="A41"/>
          <w:rFonts w:ascii="Arial" w:hAnsi="Arial" w:cs="Arial"/>
          <w:color w:val="auto"/>
          <w:sz w:val="20"/>
          <w:szCs w:val="20"/>
        </w:rPr>
        <w:t>Conflicting motives for providing such treatment (e.g. improving the personal health of addicts and protecting public health and order) can also influence what individuals are required to consent to, and how that consent is obtained</w:t>
      </w:r>
      <w:r w:rsidR="005D439F">
        <w:rPr>
          <w:rStyle w:val="A41"/>
          <w:rFonts w:ascii="Arial" w:hAnsi="Arial" w:cs="Arial"/>
          <w:color w:val="auto"/>
          <w:sz w:val="20"/>
          <w:szCs w:val="20"/>
        </w:rPr>
        <w:t xml:space="preserve">” and attempts to develop an ethical framework for obtaining informed consent in this context. </w:t>
      </w:r>
    </w:p>
    <w:p w14:paraId="5AA8E31C" w14:textId="77777777" w:rsidR="00AC5DD8" w:rsidRDefault="00AC5DD8" w:rsidP="005D439F">
      <w:pPr>
        <w:spacing w:line="276" w:lineRule="auto"/>
        <w:ind w:right="20"/>
        <w:jc w:val="center"/>
        <w:rPr>
          <w:rFonts w:ascii="Arial" w:eastAsia="Arial" w:hAnsi="Arial"/>
          <w:b/>
          <w:sz w:val="22"/>
          <w:szCs w:val="22"/>
        </w:rPr>
      </w:pPr>
    </w:p>
    <w:p w14:paraId="1C1D97D8" w14:textId="77777777" w:rsidR="007F6345" w:rsidRPr="00142366" w:rsidRDefault="007F6345" w:rsidP="007F6345">
      <w:pPr>
        <w:spacing w:line="313" w:lineRule="auto"/>
        <w:ind w:right="20"/>
        <w:rPr>
          <w:rStyle w:val="pagerange"/>
          <w:rFonts w:ascii="Arial" w:hAnsi="Arial"/>
          <w:color w:val="333333"/>
          <w:shd w:val="clear" w:color="auto" w:fill="FFFFFF"/>
        </w:rPr>
      </w:pPr>
    </w:p>
    <w:p w14:paraId="3656F7CF" w14:textId="77777777" w:rsidR="00AC5DD8" w:rsidRPr="00AC5DD8" w:rsidRDefault="00AC5DD8" w:rsidP="005D439F">
      <w:pPr>
        <w:spacing w:line="313" w:lineRule="auto"/>
        <w:ind w:right="20"/>
        <w:rPr>
          <w:rFonts w:ascii="Arial" w:eastAsia="Arial" w:hAnsi="Arial"/>
          <w:b/>
          <w:sz w:val="22"/>
          <w:szCs w:val="22"/>
        </w:rPr>
      </w:pPr>
    </w:p>
    <w:p w14:paraId="416D9ED5" w14:textId="77777777" w:rsidR="00EA5BAA" w:rsidRDefault="00EA5BAA" w:rsidP="00AA0665">
      <w:pPr>
        <w:spacing w:line="313" w:lineRule="auto"/>
        <w:ind w:right="20"/>
        <w:jc w:val="both"/>
        <w:rPr>
          <w:rFonts w:ascii="Arial" w:eastAsia="Arial" w:hAnsi="Arial"/>
          <w:sz w:val="18"/>
        </w:rPr>
      </w:pPr>
    </w:p>
    <w:p w14:paraId="25733B08" w14:textId="77777777" w:rsidR="00EA5BAA" w:rsidRPr="005D439F" w:rsidRDefault="00EA5BAA" w:rsidP="00AC5DD8">
      <w:pPr>
        <w:spacing w:line="313" w:lineRule="auto"/>
        <w:ind w:right="20"/>
        <w:jc w:val="center"/>
        <w:rPr>
          <w:rFonts w:ascii="Arial" w:eastAsia="Arial" w:hAnsi="Arial"/>
          <w:b/>
          <w:sz w:val="24"/>
          <w:szCs w:val="24"/>
        </w:rPr>
      </w:pPr>
      <w:r w:rsidRPr="005D439F">
        <w:rPr>
          <w:rFonts w:ascii="Arial" w:eastAsia="Arial" w:hAnsi="Arial"/>
          <w:b/>
          <w:sz w:val="24"/>
          <w:szCs w:val="24"/>
        </w:rPr>
        <w:t>References</w:t>
      </w:r>
    </w:p>
    <w:p w14:paraId="50AC59BA" w14:textId="77777777" w:rsidR="00EA5BAA" w:rsidRDefault="00EA5BAA" w:rsidP="00AA0665">
      <w:pPr>
        <w:spacing w:line="313" w:lineRule="auto"/>
        <w:ind w:right="20"/>
        <w:jc w:val="both"/>
        <w:rPr>
          <w:rFonts w:ascii="Arial" w:eastAsia="Arial" w:hAnsi="Arial"/>
          <w:sz w:val="18"/>
        </w:rPr>
      </w:pPr>
    </w:p>
    <w:p w14:paraId="7EFB1AC5" w14:textId="77777777" w:rsidR="00EA5BAA" w:rsidRDefault="00EA5BAA" w:rsidP="00AA0665">
      <w:pPr>
        <w:spacing w:line="315" w:lineRule="auto"/>
        <w:ind w:right="400"/>
        <w:jc w:val="both"/>
        <w:rPr>
          <w:rFonts w:ascii="Arial" w:eastAsia="Arial" w:hAnsi="Arial"/>
        </w:rPr>
      </w:pPr>
      <w:proofErr w:type="spellStart"/>
      <w:r w:rsidRPr="00EA5BAA">
        <w:rPr>
          <w:rFonts w:ascii="Arial" w:eastAsia="Arial" w:hAnsi="Arial"/>
        </w:rPr>
        <w:t>Blanken</w:t>
      </w:r>
      <w:proofErr w:type="spellEnd"/>
      <w:r w:rsidRPr="00EA5BAA">
        <w:rPr>
          <w:rFonts w:ascii="Arial" w:eastAsia="Arial" w:hAnsi="Arial"/>
        </w:rPr>
        <w:t xml:space="preserve">, P., Hendriks, V., van </w:t>
      </w:r>
      <w:proofErr w:type="spellStart"/>
      <w:r w:rsidRPr="00EA5BAA">
        <w:rPr>
          <w:rFonts w:ascii="Arial" w:eastAsia="Arial" w:hAnsi="Arial"/>
        </w:rPr>
        <w:t>Ree</w:t>
      </w:r>
      <w:proofErr w:type="spellEnd"/>
      <w:r w:rsidRPr="00EA5BAA">
        <w:rPr>
          <w:rFonts w:ascii="Arial" w:eastAsia="Arial" w:hAnsi="Arial"/>
        </w:rPr>
        <w:t xml:space="preserve">, J. and van den Brink, W. (2010), ‘Outcome of long-term heroin-assisted treatment offered to chronic, treatment-resistant heroin addicts in the Netherlands’, </w:t>
      </w:r>
      <w:r w:rsidRPr="00EA5BAA">
        <w:rPr>
          <w:rFonts w:ascii="Arial" w:eastAsia="Arial" w:hAnsi="Arial"/>
          <w:i/>
        </w:rPr>
        <w:t>Addiction</w:t>
      </w:r>
      <w:r w:rsidRPr="00EA5BAA">
        <w:rPr>
          <w:rFonts w:ascii="Arial" w:eastAsia="Arial" w:hAnsi="Arial"/>
        </w:rPr>
        <w:t xml:space="preserve"> 105, pp. 300–308.</w:t>
      </w:r>
    </w:p>
    <w:p w14:paraId="023EEE7B" w14:textId="77777777" w:rsidR="005D439F" w:rsidRDefault="005D439F" w:rsidP="005D439F">
      <w:pPr>
        <w:pStyle w:val="Heading4"/>
        <w:shd w:val="clear" w:color="auto" w:fill="FFFFFF"/>
        <w:spacing w:before="0" w:line="270" w:lineRule="atLeast"/>
        <w:rPr>
          <w:rFonts w:ascii="Arial" w:eastAsia="Arial" w:hAnsi="Arial" w:cs="Arial"/>
          <w:b w:val="0"/>
          <w:bCs w:val="0"/>
          <w:i w:val="0"/>
          <w:iCs w:val="0"/>
          <w:color w:val="auto"/>
        </w:rPr>
      </w:pPr>
    </w:p>
    <w:p w14:paraId="434FA25A" w14:textId="77777777" w:rsidR="005D439F" w:rsidRPr="00142366" w:rsidRDefault="005D439F" w:rsidP="005D439F">
      <w:pPr>
        <w:pStyle w:val="Heading4"/>
        <w:shd w:val="clear" w:color="auto" w:fill="FFFFFF"/>
        <w:spacing w:before="0" w:line="270" w:lineRule="atLeast"/>
        <w:rPr>
          <w:rFonts w:ascii="Arial" w:hAnsi="Arial" w:cs="Arial"/>
          <w:b w:val="0"/>
          <w:bCs w:val="0"/>
          <w:color w:val="333333"/>
        </w:rPr>
      </w:pPr>
      <w:r>
        <w:rPr>
          <w:rFonts w:ascii="Arial" w:hAnsi="Arial" w:cs="Arial"/>
          <w:b w:val="0"/>
          <w:bCs w:val="0"/>
          <w:i w:val="0"/>
          <w:color w:val="333333"/>
        </w:rPr>
        <w:t xml:space="preserve">Carter, A. (2008) </w:t>
      </w:r>
      <w:r w:rsidRPr="00142366">
        <w:rPr>
          <w:rFonts w:ascii="Arial" w:hAnsi="Arial" w:cs="Arial"/>
          <w:b w:val="0"/>
          <w:bCs w:val="0"/>
          <w:i w:val="0"/>
          <w:color w:val="333333"/>
        </w:rPr>
        <w:t>Informed consent to opioid agonist maintenance treatment: Recommended ethical guidelines</w:t>
      </w:r>
      <w:r>
        <w:rPr>
          <w:rFonts w:ascii="Arial" w:hAnsi="Arial" w:cs="Arial"/>
          <w:b w:val="0"/>
          <w:bCs w:val="0"/>
          <w:i w:val="0"/>
          <w:color w:val="333333"/>
        </w:rPr>
        <w:t xml:space="preserve">. </w:t>
      </w:r>
      <w:r w:rsidRPr="00142366">
        <w:rPr>
          <w:rFonts w:ascii="Arial" w:hAnsi="Arial" w:cs="Arial"/>
          <w:b w:val="0"/>
          <w:color w:val="333333"/>
        </w:rPr>
        <w:t>Inter</w:t>
      </w:r>
      <w:r>
        <w:rPr>
          <w:rFonts w:ascii="Arial" w:hAnsi="Arial" w:cs="Arial"/>
          <w:b w:val="0"/>
          <w:color w:val="333333"/>
        </w:rPr>
        <w:t>national Journal of Drug Policy</w:t>
      </w:r>
      <w:r w:rsidRPr="00142366">
        <w:rPr>
          <w:rFonts w:ascii="Arial" w:hAnsi="Arial" w:cs="Arial"/>
          <w:b w:val="0"/>
          <w:color w:val="333333"/>
        </w:rPr>
        <w:t xml:space="preserve">, Volume </w:t>
      </w:r>
      <w:proofErr w:type="gramStart"/>
      <w:r w:rsidRPr="00142366">
        <w:rPr>
          <w:rFonts w:ascii="Arial" w:hAnsi="Arial" w:cs="Arial"/>
          <w:b w:val="0"/>
          <w:color w:val="333333"/>
        </w:rPr>
        <w:t>19 ,</w:t>
      </w:r>
      <w:proofErr w:type="gramEnd"/>
      <w:r w:rsidRPr="00142366">
        <w:rPr>
          <w:rFonts w:ascii="Arial" w:hAnsi="Arial" w:cs="Arial"/>
          <w:b w:val="0"/>
          <w:color w:val="333333"/>
        </w:rPr>
        <w:t xml:space="preserve"> Issue 1 , 79 - 89</w:t>
      </w:r>
    </w:p>
    <w:p w14:paraId="61141CFB" w14:textId="77777777" w:rsidR="005D439F" w:rsidRPr="00142366" w:rsidRDefault="005D439F" w:rsidP="005D439F">
      <w:pPr>
        <w:shd w:val="clear" w:color="auto" w:fill="FFFFFF"/>
        <w:rPr>
          <w:rStyle w:val="epub-date"/>
          <w:rFonts w:ascii="Arial" w:hAnsi="Arial"/>
          <w:color w:val="1C1D1E"/>
        </w:rPr>
      </w:pPr>
    </w:p>
    <w:p w14:paraId="5BA8A232" w14:textId="77777777" w:rsidR="005D439F" w:rsidRPr="005D439F" w:rsidRDefault="005D439F" w:rsidP="005D439F">
      <w:pPr>
        <w:shd w:val="clear" w:color="auto" w:fill="FFFFFF"/>
        <w:rPr>
          <w:rStyle w:val="epub-date"/>
          <w:rFonts w:ascii="Arial" w:hAnsi="Arial"/>
          <w:color w:val="1C1D1E"/>
        </w:rPr>
      </w:pPr>
      <w:proofErr w:type="spellStart"/>
      <w:r w:rsidRPr="005D439F">
        <w:rPr>
          <w:rStyle w:val="epub-date"/>
          <w:rFonts w:ascii="Arial" w:hAnsi="Arial"/>
          <w:color w:val="1C1D1E"/>
        </w:rPr>
        <w:t>Charland</w:t>
      </w:r>
      <w:proofErr w:type="spellEnd"/>
      <w:r w:rsidRPr="005D439F">
        <w:rPr>
          <w:rStyle w:val="epub-date"/>
          <w:rFonts w:ascii="Arial" w:hAnsi="Arial"/>
          <w:color w:val="1C1D1E"/>
        </w:rPr>
        <w:t xml:space="preserve">, L. C.  (2010) Cynthia's Dilemma: Consenting to Heroin Prescription. </w:t>
      </w:r>
      <w:r w:rsidRPr="005D439F">
        <w:rPr>
          <w:rStyle w:val="epub-date"/>
          <w:rFonts w:ascii="Arial" w:hAnsi="Arial"/>
          <w:i/>
          <w:color w:val="1C1D1E"/>
        </w:rPr>
        <w:t>The American Journal of Bioethics</w:t>
      </w:r>
      <w:r w:rsidRPr="005D439F">
        <w:rPr>
          <w:rStyle w:val="epub-date"/>
          <w:rFonts w:ascii="Arial" w:hAnsi="Arial"/>
          <w:color w:val="1C1D1E"/>
        </w:rPr>
        <w:t>, 2:2, 37-47.</w:t>
      </w:r>
    </w:p>
    <w:p w14:paraId="6F635046" w14:textId="77777777" w:rsidR="005D439F" w:rsidRPr="005D439F" w:rsidRDefault="005D439F" w:rsidP="005D439F">
      <w:pPr>
        <w:shd w:val="clear" w:color="auto" w:fill="FFFFFF"/>
        <w:rPr>
          <w:rStyle w:val="epub-date"/>
          <w:rFonts w:ascii="Arial" w:hAnsi="Arial"/>
          <w:color w:val="1C1D1E"/>
        </w:rPr>
      </w:pPr>
    </w:p>
    <w:p w14:paraId="500B6DC9" w14:textId="77777777" w:rsidR="007F6345" w:rsidRDefault="007F6345" w:rsidP="007F6345">
      <w:pPr>
        <w:spacing w:line="309" w:lineRule="auto"/>
        <w:ind w:right="300"/>
        <w:rPr>
          <w:rFonts w:ascii="Arial" w:eastAsia="Arial" w:hAnsi="Arial"/>
        </w:rPr>
      </w:pPr>
      <w:proofErr w:type="spellStart"/>
      <w:r w:rsidRPr="007F6345">
        <w:rPr>
          <w:rFonts w:ascii="Arial" w:eastAsia="Arial" w:hAnsi="Arial"/>
        </w:rPr>
        <w:t>Dijkgraaf</w:t>
      </w:r>
      <w:proofErr w:type="spellEnd"/>
      <w:r w:rsidRPr="007F6345">
        <w:rPr>
          <w:rFonts w:ascii="Arial" w:eastAsia="Arial" w:hAnsi="Arial"/>
        </w:rPr>
        <w:t xml:space="preserve">, G. W., Van der </w:t>
      </w:r>
      <w:proofErr w:type="spellStart"/>
      <w:r w:rsidRPr="007F6345">
        <w:rPr>
          <w:rFonts w:ascii="Arial" w:eastAsia="Arial" w:hAnsi="Arial"/>
        </w:rPr>
        <w:t>Zanden</w:t>
      </w:r>
      <w:proofErr w:type="spellEnd"/>
      <w:r w:rsidRPr="007F6345">
        <w:rPr>
          <w:rFonts w:ascii="Arial" w:eastAsia="Arial" w:hAnsi="Arial"/>
        </w:rPr>
        <w:t xml:space="preserve">, B. P., De </w:t>
      </w:r>
      <w:proofErr w:type="spellStart"/>
      <w:r w:rsidRPr="007F6345">
        <w:rPr>
          <w:rFonts w:ascii="Arial" w:eastAsia="Arial" w:hAnsi="Arial"/>
        </w:rPr>
        <w:t>Borgie</w:t>
      </w:r>
      <w:proofErr w:type="spellEnd"/>
      <w:r w:rsidRPr="007F6345">
        <w:rPr>
          <w:rFonts w:ascii="Arial" w:eastAsia="Arial" w:hAnsi="Arial"/>
        </w:rPr>
        <w:t xml:space="preserve">, A. J. M., et al. (2005), ‘Cost utility analysis of co-prescribed heroin compared with methadone maintenance treatment in heroin addicts in two randomised trials’, </w:t>
      </w:r>
      <w:r w:rsidRPr="007F6345">
        <w:rPr>
          <w:rFonts w:ascii="Arial" w:eastAsia="Arial" w:hAnsi="Arial"/>
          <w:i/>
        </w:rPr>
        <w:t>British Medical Journal</w:t>
      </w:r>
      <w:r w:rsidRPr="007F6345">
        <w:rPr>
          <w:rFonts w:ascii="Arial" w:eastAsia="Arial" w:hAnsi="Arial"/>
        </w:rPr>
        <w:t xml:space="preserve"> 330, pp. 7503–7506.</w:t>
      </w:r>
    </w:p>
    <w:p w14:paraId="617FA8A3" w14:textId="77777777" w:rsidR="005D439F" w:rsidRDefault="005D439F" w:rsidP="007F6345">
      <w:pPr>
        <w:spacing w:line="309" w:lineRule="auto"/>
        <w:ind w:right="300"/>
        <w:rPr>
          <w:rFonts w:ascii="Arial" w:eastAsia="Arial" w:hAnsi="Arial"/>
        </w:rPr>
      </w:pPr>
    </w:p>
    <w:p w14:paraId="79754F47" w14:textId="77777777" w:rsidR="005D439F" w:rsidRPr="00142366" w:rsidRDefault="005D439F" w:rsidP="005D439F">
      <w:pPr>
        <w:shd w:val="clear" w:color="auto" w:fill="FFFFFF"/>
        <w:rPr>
          <w:rStyle w:val="epub-date"/>
          <w:rFonts w:ascii="Arial" w:hAnsi="Arial"/>
          <w:color w:val="1C1D1E"/>
        </w:rPr>
      </w:pPr>
      <w:proofErr w:type="spellStart"/>
      <w:r w:rsidRPr="005D439F">
        <w:rPr>
          <w:rStyle w:val="epub-date"/>
          <w:rFonts w:ascii="Arial" w:hAnsi="Arial"/>
          <w:color w:val="1C1D1E"/>
        </w:rPr>
        <w:t>Foddy</w:t>
      </w:r>
      <w:proofErr w:type="spellEnd"/>
      <w:r w:rsidRPr="005D439F">
        <w:rPr>
          <w:rStyle w:val="epub-date"/>
          <w:rFonts w:ascii="Arial" w:hAnsi="Arial"/>
          <w:color w:val="1C1D1E"/>
        </w:rPr>
        <w:t xml:space="preserve">, B, Savulescu, J. (2005) Addiction and autonomy: can addicted people consent to the prescription of their drug of choice? </w:t>
      </w:r>
      <w:r w:rsidRPr="005D439F">
        <w:rPr>
          <w:rStyle w:val="epub-date"/>
          <w:rFonts w:ascii="Arial" w:hAnsi="Arial"/>
          <w:i/>
          <w:color w:val="1C1D1E"/>
        </w:rPr>
        <w:t>Bioethics</w:t>
      </w:r>
      <w:r w:rsidRPr="005D439F">
        <w:rPr>
          <w:rStyle w:val="epub-date"/>
          <w:rFonts w:ascii="Arial" w:hAnsi="Arial"/>
          <w:color w:val="1C1D1E"/>
        </w:rPr>
        <w:t>; 20: 1–15</w:t>
      </w:r>
    </w:p>
    <w:p w14:paraId="246F3D5F" w14:textId="77777777" w:rsidR="005D439F" w:rsidRDefault="005D439F" w:rsidP="005D439F">
      <w:pPr>
        <w:spacing w:line="315" w:lineRule="auto"/>
        <w:ind w:right="400"/>
        <w:jc w:val="both"/>
        <w:rPr>
          <w:rFonts w:ascii="Arial" w:eastAsia="Arial" w:hAnsi="Arial"/>
        </w:rPr>
      </w:pPr>
    </w:p>
    <w:p w14:paraId="5A92329D" w14:textId="77777777" w:rsidR="00EA5BAA" w:rsidRDefault="00EA5BAA" w:rsidP="00AA0665">
      <w:pPr>
        <w:spacing w:line="315" w:lineRule="auto"/>
        <w:ind w:right="420"/>
        <w:jc w:val="both"/>
        <w:rPr>
          <w:rFonts w:ascii="Arial" w:eastAsia="Arial" w:hAnsi="Arial"/>
        </w:rPr>
      </w:pPr>
      <w:proofErr w:type="spellStart"/>
      <w:r w:rsidRPr="00EA5BAA">
        <w:rPr>
          <w:rFonts w:ascii="Arial" w:eastAsia="Arial" w:hAnsi="Arial"/>
        </w:rPr>
        <w:t>Güttinger</w:t>
      </w:r>
      <w:proofErr w:type="spellEnd"/>
      <w:r w:rsidRPr="00EA5BAA">
        <w:rPr>
          <w:rFonts w:ascii="Arial" w:eastAsia="Arial" w:hAnsi="Arial"/>
        </w:rPr>
        <w:t xml:space="preserve">, F., </w:t>
      </w:r>
      <w:proofErr w:type="spellStart"/>
      <w:r w:rsidRPr="00EA5BAA">
        <w:rPr>
          <w:rFonts w:ascii="Arial" w:eastAsia="Arial" w:hAnsi="Arial"/>
        </w:rPr>
        <w:t>Gschwend</w:t>
      </w:r>
      <w:proofErr w:type="spellEnd"/>
      <w:r w:rsidRPr="00EA5BAA">
        <w:rPr>
          <w:rFonts w:ascii="Arial" w:eastAsia="Arial" w:hAnsi="Arial"/>
        </w:rPr>
        <w:t xml:space="preserve">, P., Schulte, B., Rehm, J. and </w:t>
      </w:r>
      <w:proofErr w:type="spellStart"/>
      <w:r w:rsidRPr="00EA5BAA">
        <w:rPr>
          <w:rFonts w:ascii="Arial" w:eastAsia="Arial" w:hAnsi="Arial"/>
        </w:rPr>
        <w:t>Uchtenhagen</w:t>
      </w:r>
      <w:proofErr w:type="spellEnd"/>
      <w:r w:rsidRPr="00EA5BAA">
        <w:rPr>
          <w:rFonts w:ascii="Arial" w:eastAsia="Arial" w:hAnsi="Arial"/>
        </w:rPr>
        <w:t xml:space="preserve">, A. (2003), ‘Evaluating long-term effects of heroin-assisted treatment: the results of a 6-year follow-up’, </w:t>
      </w:r>
      <w:r w:rsidRPr="00EA5BAA">
        <w:rPr>
          <w:rFonts w:ascii="Arial" w:eastAsia="Arial" w:hAnsi="Arial"/>
          <w:i/>
        </w:rPr>
        <w:t>European Addiction Research</w:t>
      </w:r>
      <w:r w:rsidRPr="00EA5BAA">
        <w:rPr>
          <w:rFonts w:ascii="Arial" w:eastAsia="Arial" w:hAnsi="Arial"/>
        </w:rPr>
        <w:t xml:space="preserve"> 9, pp. 73–79.</w:t>
      </w:r>
    </w:p>
    <w:p w14:paraId="35AC875A" w14:textId="77777777" w:rsidR="007F6345" w:rsidRDefault="007F6345" w:rsidP="00AA0665">
      <w:pPr>
        <w:spacing w:line="315" w:lineRule="auto"/>
        <w:ind w:right="420"/>
        <w:jc w:val="both"/>
        <w:rPr>
          <w:rFonts w:ascii="Arial" w:eastAsia="Arial" w:hAnsi="Arial"/>
        </w:rPr>
      </w:pPr>
    </w:p>
    <w:p w14:paraId="36D16B20" w14:textId="77777777" w:rsidR="007F6345" w:rsidRPr="007F6345" w:rsidRDefault="007F6345" w:rsidP="007F6345">
      <w:pPr>
        <w:spacing w:line="362" w:lineRule="auto"/>
        <w:ind w:right="340"/>
        <w:rPr>
          <w:rFonts w:ascii="Arial" w:eastAsia="Arial" w:hAnsi="Arial"/>
        </w:rPr>
      </w:pPr>
      <w:proofErr w:type="spellStart"/>
      <w:r w:rsidRPr="007F6345">
        <w:rPr>
          <w:rFonts w:ascii="Arial" w:eastAsia="Arial" w:hAnsi="Arial"/>
        </w:rPr>
        <w:t>Gutzwiller</w:t>
      </w:r>
      <w:proofErr w:type="spellEnd"/>
      <w:r w:rsidRPr="007F6345">
        <w:rPr>
          <w:rFonts w:ascii="Arial" w:eastAsia="Arial" w:hAnsi="Arial"/>
        </w:rPr>
        <w:t xml:space="preserve">, F. and Steffen, T. (2000), </w:t>
      </w:r>
      <w:r w:rsidRPr="007F6345">
        <w:rPr>
          <w:rFonts w:ascii="Arial" w:eastAsia="Arial" w:hAnsi="Arial"/>
          <w:i/>
        </w:rPr>
        <w:t>Cost–benefit analysis of heroin maintenance</w:t>
      </w:r>
      <w:r w:rsidRPr="007F6345">
        <w:rPr>
          <w:rFonts w:ascii="Arial" w:eastAsia="Arial" w:hAnsi="Arial"/>
        </w:rPr>
        <w:t xml:space="preserve"> </w:t>
      </w:r>
      <w:r w:rsidRPr="007F6345">
        <w:rPr>
          <w:rFonts w:ascii="Arial" w:eastAsia="Arial" w:hAnsi="Arial"/>
          <w:i/>
        </w:rPr>
        <w:t xml:space="preserve">treatment, medical prescription of narcotics, </w:t>
      </w:r>
      <w:r w:rsidRPr="007F6345">
        <w:rPr>
          <w:rFonts w:ascii="Arial" w:eastAsia="Arial" w:hAnsi="Arial"/>
        </w:rPr>
        <w:t>Volume 2, Karger, Basel.</w:t>
      </w:r>
    </w:p>
    <w:p w14:paraId="1B0785E4" w14:textId="77777777" w:rsidR="007F6345" w:rsidRPr="007F6345" w:rsidRDefault="007F6345" w:rsidP="00AA0665">
      <w:pPr>
        <w:spacing w:line="315" w:lineRule="auto"/>
        <w:ind w:right="420"/>
        <w:jc w:val="both"/>
        <w:rPr>
          <w:rFonts w:ascii="Arial" w:eastAsia="Arial" w:hAnsi="Arial"/>
        </w:rPr>
      </w:pPr>
    </w:p>
    <w:p w14:paraId="0AA83873" w14:textId="77777777" w:rsidR="00EA5BAA" w:rsidRDefault="00EA5BAA" w:rsidP="00AA0665">
      <w:pPr>
        <w:spacing w:line="313" w:lineRule="auto"/>
        <w:ind w:right="260"/>
        <w:jc w:val="both"/>
        <w:rPr>
          <w:rFonts w:ascii="Arial" w:eastAsia="Arial" w:hAnsi="Arial"/>
        </w:rPr>
      </w:pPr>
      <w:proofErr w:type="spellStart"/>
      <w:r w:rsidRPr="00EA5BAA">
        <w:rPr>
          <w:rFonts w:ascii="Arial" w:eastAsia="Arial" w:hAnsi="Arial"/>
        </w:rPr>
        <w:t>Haasen</w:t>
      </w:r>
      <w:proofErr w:type="spellEnd"/>
      <w:r w:rsidRPr="00EA5BAA">
        <w:rPr>
          <w:rFonts w:ascii="Arial" w:eastAsia="Arial" w:hAnsi="Arial"/>
        </w:rPr>
        <w:t xml:space="preserve">, C., </w:t>
      </w:r>
      <w:proofErr w:type="spellStart"/>
      <w:r w:rsidRPr="00EA5BAA">
        <w:rPr>
          <w:rFonts w:ascii="Arial" w:eastAsia="Arial" w:hAnsi="Arial"/>
        </w:rPr>
        <w:t>Verthein</w:t>
      </w:r>
      <w:proofErr w:type="spellEnd"/>
      <w:r w:rsidRPr="00EA5BAA">
        <w:rPr>
          <w:rFonts w:ascii="Arial" w:eastAsia="Arial" w:hAnsi="Arial"/>
        </w:rPr>
        <w:t xml:space="preserve">, U., </w:t>
      </w:r>
      <w:proofErr w:type="spellStart"/>
      <w:r w:rsidRPr="00EA5BAA">
        <w:rPr>
          <w:rFonts w:ascii="Arial" w:eastAsia="Arial" w:hAnsi="Arial"/>
        </w:rPr>
        <w:t>Degkwitz</w:t>
      </w:r>
      <w:proofErr w:type="spellEnd"/>
      <w:r w:rsidRPr="00EA5BAA">
        <w:rPr>
          <w:rFonts w:ascii="Arial" w:eastAsia="Arial" w:hAnsi="Arial"/>
        </w:rPr>
        <w:t xml:space="preserve">, P., et al. (2007), ‘Heroin-assisted treatment for opioid dependence: randomised controlled trial’, </w:t>
      </w:r>
      <w:r w:rsidRPr="00EA5BAA">
        <w:rPr>
          <w:rFonts w:ascii="Arial" w:eastAsia="Arial" w:hAnsi="Arial"/>
          <w:i/>
        </w:rPr>
        <w:t>British Journal of Psychiatry</w:t>
      </w:r>
      <w:r w:rsidRPr="00EA5BAA">
        <w:rPr>
          <w:rFonts w:ascii="Arial" w:eastAsia="Arial" w:hAnsi="Arial"/>
        </w:rPr>
        <w:t xml:space="preserve"> 191, pp. 55–62.</w:t>
      </w:r>
    </w:p>
    <w:p w14:paraId="728A453A" w14:textId="77777777" w:rsidR="007F6345" w:rsidRDefault="007F6345" w:rsidP="00AA0665">
      <w:pPr>
        <w:spacing w:line="313" w:lineRule="auto"/>
        <w:ind w:right="260"/>
        <w:jc w:val="both"/>
        <w:rPr>
          <w:rFonts w:ascii="Arial" w:eastAsia="Arial" w:hAnsi="Arial"/>
        </w:rPr>
      </w:pPr>
    </w:p>
    <w:p w14:paraId="3D8EBDC7" w14:textId="77777777" w:rsidR="007F6345" w:rsidRPr="007F6345" w:rsidRDefault="007F6345" w:rsidP="007F6345">
      <w:pPr>
        <w:spacing w:line="324" w:lineRule="auto"/>
        <w:ind w:right="660"/>
        <w:rPr>
          <w:rFonts w:ascii="Arial" w:eastAsia="Arial" w:hAnsi="Arial"/>
        </w:rPr>
      </w:pPr>
      <w:proofErr w:type="spellStart"/>
      <w:r w:rsidRPr="007F6345">
        <w:rPr>
          <w:rFonts w:ascii="Arial" w:eastAsia="Arial" w:hAnsi="Arial"/>
        </w:rPr>
        <w:t>Haasen</w:t>
      </w:r>
      <w:proofErr w:type="spellEnd"/>
      <w:r w:rsidRPr="007F6345">
        <w:rPr>
          <w:rFonts w:ascii="Arial" w:eastAsia="Arial" w:hAnsi="Arial"/>
        </w:rPr>
        <w:t>, C. (2009), ‘</w:t>
      </w:r>
      <w:proofErr w:type="spellStart"/>
      <w:r w:rsidRPr="007F6345">
        <w:rPr>
          <w:rFonts w:ascii="Arial" w:eastAsia="Arial" w:hAnsi="Arial"/>
        </w:rPr>
        <w:t>Gesundheitsökonomische</w:t>
      </w:r>
      <w:proofErr w:type="spellEnd"/>
      <w:r w:rsidRPr="007F6345">
        <w:rPr>
          <w:rFonts w:ascii="Arial" w:eastAsia="Arial" w:hAnsi="Arial"/>
        </w:rPr>
        <w:t xml:space="preserve"> </w:t>
      </w:r>
      <w:proofErr w:type="spellStart"/>
      <w:r w:rsidRPr="007F6345">
        <w:rPr>
          <w:rFonts w:ascii="Arial" w:eastAsia="Arial" w:hAnsi="Arial"/>
        </w:rPr>
        <w:t>Begleitforschung</w:t>
      </w:r>
      <w:proofErr w:type="spellEnd"/>
      <w:r w:rsidRPr="007F6345">
        <w:rPr>
          <w:rFonts w:ascii="Arial" w:eastAsia="Arial" w:hAnsi="Arial"/>
        </w:rPr>
        <w:t>’ (unpublished economic evaluation report, German SIH trial).</w:t>
      </w:r>
    </w:p>
    <w:p w14:paraId="281350F0" w14:textId="77777777" w:rsidR="007F6345" w:rsidRPr="00EA5BAA" w:rsidRDefault="007F6345" w:rsidP="00AA0665">
      <w:pPr>
        <w:spacing w:line="313" w:lineRule="auto"/>
        <w:ind w:right="260"/>
        <w:jc w:val="both"/>
        <w:rPr>
          <w:rFonts w:ascii="Arial" w:eastAsia="Arial" w:hAnsi="Arial"/>
        </w:rPr>
      </w:pPr>
    </w:p>
    <w:p w14:paraId="0814D245" w14:textId="77777777" w:rsidR="00EA5BAA" w:rsidRPr="00EA5BAA" w:rsidRDefault="00EA5BAA" w:rsidP="00AA0665">
      <w:pPr>
        <w:spacing w:line="315" w:lineRule="auto"/>
        <w:ind w:right="280"/>
        <w:jc w:val="both"/>
        <w:rPr>
          <w:rFonts w:ascii="Arial" w:eastAsia="Arial" w:hAnsi="Arial"/>
        </w:rPr>
      </w:pPr>
      <w:r w:rsidRPr="00EA5BAA">
        <w:rPr>
          <w:rFonts w:ascii="Arial" w:eastAsia="Arial" w:hAnsi="Arial"/>
        </w:rPr>
        <w:t>March, J. C., Oviedo-</w:t>
      </w:r>
      <w:proofErr w:type="spellStart"/>
      <w:r w:rsidRPr="00EA5BAA">
        <w:rPr>
          <w:rFonts w:ascii="Arial" w:eastAsia="Arial" w:hAnsi="Arial"/>
        </w:rPr>
        <w:t>Joekes</w:t>
      </w:r>
      <w:proofErr w:type="spellEnd"/>
      <w:r w:rsidRPr="00EA5BAA">
        <w:rPr>
          <w:rFonts w:ascii="Arial" w:eastAsia="Arial" w:hAnsi="Arial"/>
        </w:rPr>
        <w:t xml:space="preserve">, E., </w:t>
      </w:r>
      <w:proofErr w:type="spellStart"/>
      <w:r w:rsidRPr="00EA5BAA">
        <w:rPr>
          <w:rFonts w:ascii="Arial" w:eastAsia="Arial" w:hAnsi="Arial"/>
        </w:rPr>
        <w:t>Perea</w:t>
      </w:r>
      <w:proofErr w:type="spellEnd"/>
      <w:r w:rsidRPr="00EA5BAA">
        <w:rPr>
          <w:rFonts w:ascii="Arial" w:eastAsia="Arial" w:hAnsi="Arial"/>
        </w:rPr>
        <w:t xml:space="preserve">-Milla, E., Carrasco, F. and the PEPSA Team (2006), ‘Controlled trial of prescribed heroin in the treatment of opioid addiction’, </w:t>
      </w:r>
      <w:r w:rsidRPr="00EA5BAA">
        <w:rPr>
          <w:rFonts w:ascii="Arial" w:eastAsia="Arial" w:hAnsi="Arial"/>
          <w:i/>
        </w:rPr>
        <w:t xml:space="preserve">Journal of Substance Abuse Treatment </w:t>
      </w:r>
      <w:r w:rsidRPr="00EA5BAA">
        <w:rPr>
          <w:rFonts w:ascii="Arial" w:eastAsia="Arial" w:hAnsi="Arial"/>
        </w:rPr>
        <w:t>31(2), pp. 203–211.</w:t>
      </w:r>
    </w:p>
    <w:p w14:paraId="21D354B2" w14:textId="77777777" w:rsidR="00EA5BAA" w:rsidRPr="00EA5BAA" w:rsidRDefault="00EA5BAA" w:rsidP="00AA0665">
      <w:pPr>
        <w:spacing w:line="315" w:lineRule="auto"/>
        <w:ind w:right="60"/>
        <w:jc w:val="both"/>
        <w:rPr>
          <w:rFonts w:ascii="Arial" w:eastAsia="Arial" w:hAnsi="Arial"/>
        </w:rPr>
      </w:pPr>
    </w:p>
    <w:p w14:paraId="4364E9E9" w14:textId="77777777" w:rsidR="00EA5BAA" w:rsidRPr="00EA5BAA" w:rsidRDefault="00EA5BAA" w:rsidP="00AA0665">
      <w:pPr>
        <w:spacing w:line="315" w:lineRule="auto"/>
        <w:ind w:right="320"/>
        <w:jc w:val="both"/>
        <w:rPr>
          <w:rFonts w:ascii="Arial" w:eastAsia="Arial" w:hAnsi="Arial"/>
        </w:rPr>
      </w:pPr>
      <w:r w:rsidRPr="00EA5BAA">
        <w:rPr>
          <w:rFonts w:ascii="Arial" w:eastAsia="Arial" w:hAnsi="Arial"/>
        </w:rPr>
        <w:t>Oviedo-</w:t>
      </w:r>
      <w:proofErr w:type="spellStart"/>
      <w:r w:rsidRPr="00EA5BAA">
        <w:rPr>
          <w:rFonts w:ascii="Arial" w:eastAsia="Arial" w:hAnsi="Arial"/>
        </w:rPr>
        <w:t>Joekes</w:t>
      </w:r>
      <w:proofErr w:type="spellEnd"/>
      <w:r w:rsidRPr="00EA5BAA">
        <w:rPr>
          <w:rFonts w:ascii="Arial" w:eastAsia="Arial" w:hAnsi="Arial"/>
        </w:rPr>
        <w:t xml:space="preserve">, E., Brissette, S., Marsh, D., et al. (2009), ‘Diacetylmorphine versus methadone for the treatment of opioid addiction’, </w:t>
      </w:r>
      <w:r w:rsidRPr="00EA5BAA">
        <w:rPr>
          <w:rFonts w:ascii="Arial" w:eastAsia="Arial" w:hAnsi="Arial"/>
          <w:i/>
        </w:rPr>
        <w:t>The New England Journal of</w:t>
      </w:r>
      <w:r w:rsidRPr="00EA5BAA">
        <w:rPr>
          <w:rFonts w:ascii="Arial" w:eastAsia="Arial" w:hAnsi="Arial"/>
        </w:rPr>
        <w:t xml:space="preserve"> </w:t>
      </w:r>
      <w:r w:rsidRPr="00EA5BAA">
        <w:rPr>
          <w:rFonts w:ascii="Arial" w:eastAsia="Arial" w:hAnsi="Arial"/>
          <w:i/>
        </w:rPr>
        <w:t xml:space="preserve">Medicine </w:t>
      </w:r>
      <w:r w:rsidRPr="00EA5BAA">
        <w:rPr>
          <w:rFonts w:ascii="Arial" w:eastAsia="Arial" w:hAnsi="Arial"/>
        </w:rPr>
        <w:t>361, pp. 777–786.</w:t>
      </w:r>
    </w:p>
    <w:p w14:paraId="116E60CC" w14:textId="77777777" w:rsidR="00EA5BAA" w:rsidRPr="00EA5BAA" w:rsidRDefault="00EA5BAA" w:rsidP="00AA0665">
      <w:pPr>
        <w:spacing w:line="315" w:lineRule="auto"/>
        <w:ind w:right="320"/>
        <w:jc w:val="both"/>
        <w:rPr>
          <w:rFonts w:ascii="Arial" w:eastAsia="Arial" w:hAnsi="Arial"/>
        </w:rPr>
      </w:pPr>
    </w:p>
    <w:p w14:paraId="52841AB8" w14:textId="77777777" w:rsidR="00EA5BAA" w:rsidRPr="00EA5BAA" w:rsidRDefault="00EA5BAA" w:rsidP="00AA0665">
      <w:pPr>
        <w:spacing w:line="315" w:lineRule="auto"/>
        <w:ind w:right="540"/>
        <w:jc w:val="both"/>
        <w:rPr>
          <w:rFonts w:ascii="Arial" w:eastAsia="Arial" w:hAnsi="Arial"/>
        </w:rPr>
      </w:pPr>
      <w:r w:rsidRPr="00EA5BAA">
        <w:rPr>
          <w:rFonts w:ascii="Arial" w:eastAsia="Arial" w:hAnsi="Arial"/>
        </w:rPr>
        <w:t>Oviedo-</w:t>
      </w:r>
      <w:proofErr w:type="spellStart"/>
      <w:r w:rsidRPr="00EA5BAA">
        <w:rPr>
          <w:rFonts w:ascii="Arial" w:eastAsia="Arial" w:hAnsi="Arial"/>
        </w:rPr>
        <w:t>Joekes</w:t>
      </w:r>
      <w:proofErr w:type="spellEnd"/>
      <w:r w:rsidRPr="00EA5BAA">
        <w:rPr>
          <w:rFonts w:ascii="Arial" w:eastAsia="Arial" w:hAnsi="Arial"/>
        </w:rPr>
        <w:t xml:space="preserve">, E., March, J.C., Romero, M., and </w:t>
      </w:r>
      <w:proofErr w:type="spellStart"/>
      <w:r w:rsidRPr="00EA5BAA">
        <w:rPr>
          <w:rFonts w:ascii="Arial" w:eastAsia="Arial" w:hAnsi="Arial"/>
        </w:rPr>
        <w:t>Perea</w:t>
      </w:r>
      <w:proofErr w:type="spellEnd"/>
      <w:r w:rsidRPr="00EA5BAA">
        <w:rPr>
          <w:rFonts w:ascii="Arial" w:eastAsia="Arial" w:hAnsi="Arial"/>
        </w:rPr>
        <w:t xml:space="preserve">-Milla, E. (2010), ‘The Andalusian trial on heroin-assisted treatment: A two year follow-up’, </w:t>
      </w:r>
      <w:r w:rsidRPr="00EA5BAA">
        <w:rPr>
          <w:rFonts w:ascii="Arial" w:eastAsia="Arial" w:hAnsi="Arial"/>
          <w:i/>
        </w:rPr>
        <w:t>Drug and</w:t>
      </w:r>
      <w:r w:rsidRPr="00EA5BAA">
        <w:rPr>
          <w:rFonts w:ascii="Arial" w:eastAsia="Arial" w:hAnsi="Arial"/>
        </w:rPr>
        <w:t xml:space="preserve"> </w:t>
      </w:r>
      <w:r w:rsidRPr="00EA5BAA">
        <w:rPr>
          <w:rFonts w:ascii="Arial" w:eastAsia="Arial" w:hAnsi="Arial"/>
          <w:i/>
        </w:rPr>
        <w:t xml:space="preserve">Alcohol Review </w:t>
      </w:r>
      <w:r w:rsidRPr="00EA5BAA">
        <w:rPr>
          <w:rFonts w:ascii="Arial" w:eastAsia="Arial" w:hAnsi="Arial"/>
        </w:rPr>
        <w:t>29, pp. 75–80.</w:t>
      </w:r>
    </w:p>
    <w:p w14:paraId="3101EFEB" w14:textId="77777777" w:rsidR="00EA5BAA" w:rsidRPr="00EA5BAA" w:rsidRDefault="00EA5BAA" w:rsidP="00AA0665">
      <w:pPr>
        <w:spacing w:line="315" w:lineRule="auto"/>
        <w:ind w:right="320"/>
        <w:jc w:val="both"/>
        <w:rPr>
          <w:rFonts w:ascii="Arial" w:eastAsia="Arial" w:hAnsi="Arial"/>
        </w:rPr>
      </w:pPr>
    </w:p>
    <w:p w14:paraId="325DD381" w14:textId="77777777" w:rsidR="00EA5BAA" w:rsidRDefault="00EA5BAA" w:rsidP="00AA0665">
      <w:pPr>
        <w:spacing w:line="315" w:lineRule="auto"/>
        <w:jc w:val="both"/>
        <w:rPr>
          <w:rFonts w:ascii="Arial" w:eastAsia="Arial" w:hAnsi="Arial"/>
        </w:rPr>
      </w:pPr>
      <w:proofErr w:type="spellStart"/>
      <w:r w:rsidRPr="00EA5BAA">
        <w:rPr>
          <w:rFonts w:ascii="Arial" w:eastAsia="Arial" w:hAnsi="Arial"/>
        </w:rPr>
        <w:t>Perneger</w:t>
      </w:r>
      <w:proofErr w:type="spellEnd"/>
      <w:r w:rsidRPr="00EA5BAA">
        <w:rPr>
          <w:rFonts w:ascii="Arial" w:eastAsia="Arial" w:hAnsi="Arial"/>
        </w:rPr>
        <w:t xml:space="preserve">, T. V., </w:t>
      </w:r>
      <w:proofErr w:type="spellStart"/>
      <w:r w:rsidRPr="00EA5BAA">
        <w:rPr>
          <w:rFonts w:ascii="Arial" w:eastAsia="Arial" w:hAnsi="Arial"/>
        </w:rPr>
        <w:t>Giner</w:t>
      </w:r>
      <w:proofErr w:type="spellEnd"/>
      <w:r w:rsidRPr="00EA5BAA">
        <w:rPr>
          <w:rFonts w:ascii="Arial" w:eastAsia="Arial" w:hAnsi="Arial"/>
        </w:rPr>
        <w:t xml:space="preserve">, F., del Rio, M. and Mino, A. (1998), ‘Randomised trial of heroin maintenance programme for addicts who fail in conventional drug treatments’, </w:t>
      </w:r>
      <w:r w:rsidRPr="00EA5BAA">
        <w:rPr>
          <w:rFonts w:ascii="Arial" w:eastAsia="Arial" w:hAnsi="Arial"/>
          <w:i/>
        </w:rPr>
        <w:t xml:space="preserve">British Medical Journal </w:t>
      </w:r>
      <w:r w:rsidRPr="00EA5BAA">
        <w:rPr>
          <w:rFonts w:ascii="Arial" w:eastAsia="Arial" w:hAnsi="Arial"/>
        </w:rPr>
        <w:t>317, pp. 13–18.</w:t>
      </w:r>
    </w:p>
    <w:p w14:paraId="5487BA21" w14:textId="77777777" w:rsidR="00EA5BAA" w:rsidRPr="00EA5BAA" w:rsidRDefault="00EA5BAA" w:rsidP="00AA0665">
      <w:pPr>
        <w:spacing w:line="315" w:lineRule="auto"/>
        <w:jc w:val="both"/>
        <w:rPr>
          <w:rFonts w:ascii="Arial" w:eastAsia="Arial" w:hAnsi="Arial"/>
        </w:rPr>
      </w:pPr>
    </w:p>
    <w:p w14:paraId="75FC5BA7" w14:textId="77777777" w:rsidR="00EA5BAA" w:rsidRPr="00EA5BAA" w:rsidRDefault="00EA5BAA" w:rsidP="00AA0665">
      <w:pPr>
        <w:spacing w:line="315" w:lineRule="auto"/>
        <w:ind w:right="200"/>
        <w:jc w:val="both"/>
        <w:rPr>
          <w:rFonts w:ascii="Arial" w:eastAsia="Arial" w:hAnsi="Arial"/>
        </w:rPr>
      </w:pPr>
      <w:r w:rsidRPr="00EA5BAA">
        <w:rPr>
          <w:rFonts w:ascii="Arial" w:eastAsia="Arial" w:hAnsi="Arial"/>
        </w:rPr>
        <w:lastRenderedPageBreak/>
        <w:t xml:space="preserve">Rehm, J., </w:t>
      </w:r>
      <w:proofErr w:type="spellStart"/>
      <w:r w:rsidRPr="00EA5BAA">
        <w:rPr>
          <w:rFonts w:ascii="Arial" w:eastAsia="Arial" w:hAnsi="Arial"/>
        </w:rPr>
        <w:t>Gschwend</w:t>
      </w:r>
      <w:proofErr w:type="spellEnd"/>
      <w:r w:rsidRPr="00EA5BAA">
        <w:rPr>
          <w:rFonts w:ascii="Arial" w:eastAsia="Arial" w:hAnsi="Arial"/>
        </w:rPr>
        <w:t xml:space="preserve">, P., Steffen, T., et al. (2001), ‘Feasibility, safety, and efficacy of injectable heroin prescription for refractory opioid addicts: a follow-up study’, </w:t>
      </w:r>
      <w:r w:rsidRPr="00EA5BAA">
        <w:rPr>
          <w:rFonts w:ascii="Arial" w:eastAsia="Arial" w:hAnsi="Arial"/>
          <w:i/>
        </w:rPr>
        <w:t>The</w:t>
      </w:r>
      <w:r w:rsidRPr="00EA5BAA">
        <w:rPr>
          <w:rFonts w:ascii="Arial" w:eastAsia="Arial" w:hAnsi="Arial"/>
        </w:rPr>
        <w:t xml:space="preserve"> </w:t>
      </w:r>
      <w:r w:rsidRPr="00EA5BAA">
        <w:rPr>
          <w:rFonts w:ascii="Arial" w:eastAsia="Arial" w:hAnsi="Arial"/>
          <w:i/>
        </w:rPr>
        <w:t xml:space="preserve">Lancet </w:t>
      </w:r>
      <w:r w:rsidRPr="00EA5BAA">
        <w:rPr>
          <w:rFonts w:ascii="Arial" w:eastAsia="Arial" w:hAnsi="Arial"/>
        </w:rPr>
        <w:t>358, pp. 1417–1420.</w:t>
      </w:r>
    </w:p>
    <w:p w14:paraId="6D55036F" w14:textId="77777777" w:rsidR="00EA5BAA" w:rsidRPr="00EA5BAA" w:rsidRDefault="00EA5BAA" w:rsidP="00AA0665">
      <w:pPr>
        <w:spacing w:line="315" w:lineRule="auto"/>
        <w:jc w:val="both"/>
        <w:rPr>
          <w:rFonts w:ascii="Arial" w:eastAsia="Arial" w:hAnsi="Arial"/>
        </w:rPr>
      </w:pPr>
    </w:p>
    <w:p w14:paraId="7171BD92" w14:textId="77777777" w:rsidR="00EA5BAA" w:rsidRPr="00EA5BAA" w:rsidRDefault="00EA5BAA" w:rsidP="00AA0665">
      <w:pPr>
        <w:spacing w:line="315" w:lineRule="auto"/>
        <w:ind w:right="140"/>
        <w:jc w:val="both"/>
        <w:rPr>
          <w:rFonts w:ascii="Arial" w:eastAsia="Arial" w:hAnsi="Arial"/>
        </w:rPr>
      </w:pPr>
      <w:r w:rsidRPr="00EA5BAA">
        <w:rPr>
          <w:rFonts w:ascii="Arial" w:eastAsia="Arial" w:hAnsi="Arial"/>
        </w:rPr>
        <w:t xml:space="preserve">Romo, N., Poo, M., </w:t>
      </w:r>
      <w:proofErr w:type="spellStart"/>
      <w:r w:rsidRPr="00EA5BAA">
        <w:rPr>
          <w:rFonts w:ascii="Arial" w:eastAsia="Arial" w:hAnsi="Arial"/>
        </w:rPr>
        <w:t>Ballesta</w:t>
      </w:r>
      <w:proofErr w:type="spellEnd"/>
      <w:r w:rsidRPr="00EA5BAA">
        <w:rPr>
          <w:rFonts w:ascii="Arial" w:eastAsia="Arial" w:hAnsi="Arial"/>
        </w:rPr>
        <w:t xml:space="preserve">, R. and the PEPSA Team (2009), ‘From illegal poison to legal medicine: A qualitative research in a heroin-prescription trial in Spain’, </w:t>
      </w:r>
      <w:r w:rsidRPr="00EA5BAA">
        <w:rPr>
          <w:rFonts w:ascii="Arial" w:eastAsia="Arial" w:hAnsi="Arial"/>
          <w:i/>
        </w:rPr>
        <w:t>Drug</w:t>
      </w:r>
      <w:r w:rsidRPr="00EA5BAA">
        <w:rPr>
          <w:rFonts w:ascii="Arial" w:eastAsia="Arial" w:hAnsi="Arial"/>
        </w:rPr>
        <w:t xml:space="preserve"> </w:t>
      </w:r>
      <w:r w:rsidRPr="00EA5BAA">
        <w:rPr>
          <w:rFonts w:ascii="Arial" w:eastAsia="Arial" w:hAnsi="Arial"/>
          <w:i/>
        </w:rPr>
        <w:t xml:space="preserve">and Alcohol Review </w:t>
      </w:r>
      <w:r w:rsidRPr="00EA5BAA">
        <w:rPr>
          <w:rFonts w:ascii="Arial" w:eastAsia="Arial" w:hAnsi="Arial"/>
        </w:rPr>
        <w:t>28, pp. 186–195.</w:t>
      </w:r>
    </w:p>
    <w:p w14:paraId="33827ACF" w14:textId="77777777" w:rsidR="007F6345" w:rsidRDefault="007F6345" w:rsidP="00AA0665">
      <w:pPr>
        <w:spacing w:line="310" w:lineRule="auto"/>
        <w:ind w:right="200"/>
        <w:jc w:val="both"/>
        <w:rPr>
          <w:rFonts w:ascii="Arial" w:eastAsia="Arial" w:hAnsi="Arial"/>
        </w:rPr>
      </w:pPr>
    </w:p>
    <w:p w14:paraId="2FAE18EA" w14:textId="77777777" w:rsidR="00EA5BAA" w:rsidRPr="00EA5BAA" w:rsidRDefault="00EA5BAA" w:rsidP="00AA0665">
      <w:pPr>
        <w:spacing w:line="310" w:lineRule="auto"/>
        <w:ind w:right="200"/>
        <w:jc w:val="both"/>
        <w:rPr>
          <w:rFonts w:ascii="Arial" w:eastAsia="Arial" w:hAnsi="Arial"/>
        </w:rPr>
      </w:pPr>
      <w:r w:rsidRPr="00EA5BAA">
        <w:rPr>
          <w:rFonts w:ascii="Arial" w:eastAsia="Arial" w:hAnsi="Arial"/>
        </w:rPr>
        <w:t xml:space="preserve">Strang, J., </w:t>
      </w:r>
      <w:proofErr w:type="spellStart"/>
      <w:r w:rsidRPr="00EA5BAA">
        <w:rPr>
          <w:rFonts w:ascii="Arial" w:eastAsia="Arial" w:hAnsi="Arial"/>
        </w:rPr>
        <w:t>Metrebian</w:t>
      </w:r>
      <w:proofErr w:type="spellEnd"/>
      <w:r w:rsidRPr="00EA5BAA">
        <w:rPr>
          <w:rFonts w:ascii="Arial" w:eastAsia="Arial" w:hAnsi="Arial"/>
        </w:rPr>
        <w:t xml:space="preserve">, N., </w:t>
      </w:r>
      <w:proofErr w:type="spellStart"/>
      <w:r w:rsidRPr="00EA5BAA">
        <w:rPr>
          <w:rFonts w:ascii="Arial" w:eastAsia="Arial" w:hAnsi="Arial"/>
        </w:rPr>
        <w:t>Lintzeris</w:t>
      </w:r>
      <w:proofErr w:type="spellEnd"/>
      <w:r w:rsidRPr="00EA5BAA">
        <w:rPr>
          <w:rFonts w:ascii="Arial" w:eastAsia="Arial" w:hAnsi="Arial"/>
        </w:rPr>
        <w:t xml:space="preserve">, N., et al. (2010), ‘Supervised injectable heroin or injectable methadone versus optimised oral methadone as treatment for chronic heroin addicts in England after persistent failure in orthodox treatment (RIOTT): a randomised trial’, </w:t>
      </w:r>
      <w:r w:rsidRPr="00EA5BAA">
        <w:rPr>
          <w:rFonts w:ascii="Arial" w:eastAsia="Arial" w:hAnsi="Arial"/>
          <w:i/>
        </w:rPr>
        <w:t>Lancet</w:t>
      </w:r>
      <w:r w:rsidRPr="00EA5BAA">
        <w:rPr>
          <w:rFonts w:ascii="Arial" w:eastAsia="Arial" w:hAnsi="Arial"/>
        </w:rPr>
        <w:t xml:space="preserve"> 375, pp.1885–1895.</w:t>
      </w:r>
    </w:p>
    <w:p w14:paraId="44FE87F3" w14:textId="77777777" w:rsidR="00EA5BAA" w:rsidRPr="00EA5BAA" w:rsidRDefault="00EA5BAA" w:rsidP="00AA0665">
      <w:pPr>
        <w:spacing w:line="315" w:lineRule="auto"/>
        <w:jc w:val="both"/>
        <w:rPr>
          <w:rFonts w:ascii="Arial" w:eastAsia="Arial" w:hAnsi="Arial"/>
        </w:rPr>
      </w:pPr>
    </w:p>
    <w:p w14:paraId="73B23EEE" w14:textId="77777777" w:rsidR="007F6345" w:rsidRPr="00EA5BAA" w:rsidRDefault="005D439F" w:rsidP="007F6345">
      <w:pPr>
        <w:spacing w:line="315" w:lineRule="auto"/>
        <w:ind w:right="60"/>
        <w:jc w:val="both"/>
        <w:rPr>
          <w:rFonts w:ascii="Arial" w:eastAsia="Arial" w:hAnsi="Arial"/>
        </w:rPr>
      </w:pPr>
      <w:r>
        <w:rPr>
          <w:rFonts w:ascii="Arial" w:eastAsia="Arial" w:hAnsi="Arial"/>
        </w:rPr>
        <w:t>V</w:t>
      </w:r>
      <w:r w:rsidR="007F6345" w:rsidRPr="00EA5BAA">
        <w:rPr>
          <w:rFonts w:ascii="Arial" w:eastAsia="Arial" w:hAnsi="Arial"/>
        </w:rPr>
        <w:t xml:space="preserve">an den Brink, W., Hendricks, V. M., </w:t>
      </w:r>
      <w:proofErr w:type="spellStart"/>
      <w:r w:rsidR="007F6345" w:rsidRPr="00EA5BAA">
        <w:rPr>
          <w:rFonts w:ascii="Arial" w:eastAsia="Arial" w:hAnsi="Arial"/>
        </w:rPr>
        <w:t>Blanken</w:t>
      </w:r>
      <w:proofErr w:type="spellEnd"/>
      <w:r w:rsidR="007F6345" w:rsidRPr="00EA5BAA">
        <w:rPr>
          <w:rFonts w:ascii="Arial" w:eastAsia="Arial" w:hAnsi="Arial"/>
        </w:rPr>
        <w:t xml:space="preserve">, P., et al. (2003), ‘Medical prescription of heroin to treatment resistant heroin addicts: two randomised trials’, </w:t>
      </w:r>
      <w:r w:rsidR="007F6345" w:rsidRPr="00EA5BAA">
        <w:rPr>
          <w:rFonts w:ascii="Arial" w:eastAsia="Arial" w:hAnsi="Arial"/>
          <w:i/>
        </w:rPr>
        <w:t>British Medical</w:t>
      </w:r>
      <w:r w:rsidR="007F6345" w:rsidRPr="00EA5BAA">
        <w:rPr>
          <w:rFonts w:ascii="Arial" w:eastAsia="Arial" w:hAnsi="Arial"/>
        </w:rPr>
        <w:t xml:space="preserve"> </w:t>
      </w:r>
      <w:r w:rsidR="007F6345" w:rsidRPr="00EA5BAA">
        <w:rPr>
          <w:rFonts w:ascii="Arial" w:eastAsia="Arial" w:hAnsi="Arial"/>
          <w:i/>
        </w:rPr>
        <w:t xml:space="preserve">Journal </w:t>
      </w:r>
      <w:r w:rsidR="007F6345" w:rsidRPr="00EA5BAA">
        <w:rPr>
          <w:rFonts w:ascii="Arial" w:eastAsia="Arial" w:hAnsi="Arial"/>
        </w:rPr>
        <w:t>327, pp. 310–316.</w:t>
      </w:r>
    </w:p>
    <w:p w14:paraId="18251F82" w14:textId="77777777" w:rsidR="00EA5BAA" w:rsidRPr="00EA5BAA" w:rsidRDefault="00EA5BAA" w:rsidP="00AA0665">
      <w:pPr>
        <w:spacing w:line="313" w:lineRule="auto"/>
        <w:ind w:right="20"/>
        <w:jc w:val="both"/>
        <w:rPr>
          <w:rFonts w:ascii="Arial" w:eastAsia="Arial" w:hAnsi="Arial"/>
        </w:rPr>
      </w:pPr>
    </w:p>
    <w:p w14:paraId="63367931" w14:textId="77777777" w:rsidR="0005305F" w:rsidRPr="00EA5BAA" w:rsidRDefault="0005305F" w:rsidP="00AA0665">
      <w:pPr>
        <w:spacing w:line="306" w:lineRule="auto"/>
        <w:ind w:right="80"/>
        <w:jc w:val="both"/>
        <w:rPr>
          <w:rFonts w:ascii="Arial" w:eastAsia="Arial" w:hAnsi="Arial"/>
        </w:rPr>
      </w:pPr>
    </w:p>
    <w:p w14:paraId="3BD44B21" w14:textId="77777777" w:rsidR="00055A1E" w:rsidRPr="00EA5BAA" w:rsidRDefault="00055A1E" w:rsidP="00AA0665">
      <w:pPr>
        <w:jc w:val="both"/>
      </w:pPr>
    </w:p>
    <w:sectPr w:rsidR="00055A1E" w:rsidRPr="00EA5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310"/>
    <w:multiLevelType w:val="hybridMultilevel"/>
    <w:tmpl w:val="DED666F2"/>
    <w:lvl w:ilvl="0" w:tplc="AB4E4222">
      <w:start w:val="1"/>
      <w:numFmt w:val="decimal"/>
      <w:lvlText w:val="%1."/>
      <w:lvlJc w:val="left"/>
      <w:pPr>
        <w:ind w:left="786" w:hanging="360"/>
      </w:pPr>
      <w:rPr>
        <w:rFonts w:eastAsia="Arial" w:hint="default"/>
        <w:b/>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21F2615"/>
    <w:multiLevelType w:val="hybridMultilevel"/>
    <w:tmpl w:val="5EF2C360"/>
    <w:lvl w:ilvl="0" w:tplc="DDA23C30">
      <w:start w:val="1"/>
      <w:numFmt w:val="decimal"/>
      <w:lvlText w:val="%1."/>
      <w:lvlJc w:val="left"/>
      <w:pPr>
        <w:ind w:left="786" w:hanging="360"/>
      </w:pPr>
      <w:rPr>
        <w:rFonts w:eastAsia="Arial" w:hint="default"/>
        <w:b w:val="0"/>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1E"/>
    <w:rsid w:val="0005305F"/>
    <w:rsid w:val="00055A1E"/>
    <w:rsid w:val="00142366"/>
    <w:rsid w:val="001B5D6C"/>
    <w:rsid w:val="002B0189"/>
    <w:rsid w:val="00390678"/>
    <w:rsid w:val="005D439F"/>
    <w:rsid w:val="006A3479"/>
    <w:rsid w:val="007F6345"/>
    <w:rsid w:val="00841B0A"/>
    <w:rsid w:val="00963D67"/>
    <w:rsid w:val="00AA0665"/>
    <w:rsid w:val="00AC5DD8"/>
    <w:rsid w:val="00B7242F"/>
    <w:rsid w:val="00CE51C4"/>
    <w:rsid w:val="00EA5BAA"/>
    <w:rsid w:val="00FB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6865"/>
  <w15:docId w15:val="{05CF1B93-933B-204B-BCAB-CC83450B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1E"/>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7F63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634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1B5D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A1E"/>
    <w:pPr>
      <w:autoSpaceDE w:val="0"/>
      <w:autoSpaceDN w:val="0"/>
      <w:adjustRightInd w:val="0"/>
      <w:spacing w:after="0" w:line="240" w:lineRule="auto"/>
    </w:pPr>
    <w:rPr>
      <w:rFonts w:ascii="Futura Std Book" w:hAnsi="Futura Std Book" w:cs="Futura Std Book"/>
      <w:color w:val="000000"/>
      <w:sz w:val="24"/>
      <w:szCs w:val="24"/>
    </w:rPr>
  </w:style>
  <w:style w:type="character" w:customStyle="1" w:styleId="A41">
    <w:name w:val="A4+1"/>
    <w:uiPriority w:val="99"/>
    <w:rsid w:val="00055A1E"/>
    <w:rPr>
      <w:rFonts w:cs="Futura Std Book"/>
      <w:color w:val="000000"/>
      <w:sz w:val="30"/>
      <w:szCs w:val="30"/>
    </w:rPr>
  </w:style>
  <w:style w:type="paragraph" w:styleId="BalloonText">
    <w:name w:val="Balloon Text"/>
    <w:basedOn w:val="Normal"/>
    <w:link w:val="BalloonTextChar"/>
    <w:uiPriority w:val="99"/>
    <w:semiHidden/>
    <w:unhideWhenUsed/>
    <w:rsid w:val="00841B0A"/>
    <w:rPr>
      <w:rFonts w:ascii="Tahoma" w:hAnsi="Tahoma" w:cs="Tahoma"/>
      <w:sz w:val="16"/>
      <w:szCs w:val="16"/>
    </w:rPr>
  </w:style>
  <w:style w:type="character" w:customStyle="1" w:styleId="BalloonTextChar">
    <w:name w:val="Balloon Text Char"/>
    <w:basedOn w:val="DefaultParagraphFont"/>
    <w:link w:val="BalloonText"/>
    <w:uiPriority w:val="99"/>
    <w:semiHidden/>
    <w:rsid w:val="00841B0A"/>
    <w:rPr>
      <w:rFonts w:ascii="Tahoma" w:eastAsia="Calibri" w:hAnsi="Tahoma" w:cs="Tahoma"/>
      <w:sz w:val="16"/>
      <w:szCs w:val="16"/>
      <w:lang w:eastAsia="en-GB"/>
    </w:rPr>
  </w:style>
  <w:style w:type="character" w:styleId="Hyperlink">
    <w:name w:val="Hyperlink"/>
    <w:basedOn w:val="DefaultParagraphFont"/>
    <w:uiPriority w:val="99"/>
    <w:unhideWhenUsed/>
    <w:rsid w:val="00841B0A"/>
    <w:rPr>
      <w:color w:val="0000FF" w:themeColor="hyperlink"/>
      <w:u w:val="single"/>
    </w:rPr>
  </w:style>
  <w:style w:type="paragraph" w:styleId="ListParagraph">
    <w:name w:val="List Paragraph"/>
    <w:basedOn w:val="Normal"/>
    <w:uiPriority w:val="34"/>
    <w:qFormat/>
    <w:rsid w:val="00CE51C4"/>
    <w:pPr>
      <w:ind w:left="720"/>
      <w:contextualSpacing/>
    </w:pPr>
  </w:style>
  <w:style w:type="character" w:customStyle="1" w:styleId="authors">
    <w:name w:val="authors"/>
    <w:basedOn w:val="DefaultParagraphFont"/>
    <w:rsid w:val="007F6345"/>
  </w:style>
  <w:style w:type="character" w:customStyle="1" w:styleId="Date1">
    <w:name w:val="Date1"/>
    <w:basedOn w:val="DefaultParagraphFont"/>
    <w:rsid w:val="007F6345"/>
  </w:style>
  <w:style w:type="character" w:customStyle="1" w:styleId="arttitle">
    <w:name w:val="art_title"/>
    <w:basedOn w:val="DefaultParagraphFont"/>
    <w:rsid w:val="007F6345"/>
  </w:style>
  <w:style w:type="character" w:customStyle="1" w:styleId="serialtitle">
    <w:name w:val="serial_title"/>
    <w:basedOn w:val="DefaultParagraphFont"/>
    <w:rsid w:val="007F6345"/>
  </w:style>
  <w:style w:type="character" w:customStyle="1" w:styleId="volumeissue">
    <w:name w:val="volume_issue"/>
    <w:basedOn w:val="DefaultParagraphFont"/>
    <w:rsid w:val="007F6345"/>
  </w:style>
  <w:style w:type="character" w:customStyle="1" w:styleId="pagerange">
    <w:name w:val="page_range"/>
    <w:basedOn w:val="DefaultParagraphFont"/>
    <w:rsid w:val="007F6345"/>
  </w:style>
  <w:style w:type="character" w:customStyle="1" w:styleId="Heading2Char">
    <w:name w:val="Heading 2 Char"/>
    <w:basedOn w:val="DefaultParagraphFont"/>
    <w:link w:val="Heading2"/>
    <w:uiPriority w:val="9"/>
    <w:rsid w:val="007F6345"/>
    <w:rPr>
      <w:rFonts w:ascii="Times New Roman" w:eastAsia="Times New Roman" w:hAnsi="Times New Roman" w:cs="Times New Roman"/>
      <w:b/>
      <w:bCs/>
      <w:sz w:val="36"/>
      <w:szCs w:val="36"/>
      <w:lang w:eastAsia="en-GB"/>
    </w:rPr>
  </w:style>
  <w:style w:type="character" w:customStyle="1" w:styleId="epub-state">
    <w:name w:val="epub-state"/>
    <w:basedOn w:val="DefaultParagraphFont"/>
    <w:rsid w:val="007F6345"/>
  </w:style>
  <w:style w:type="character" w:customStyle="1" w:styleId="epub-date">
    <w:name w:val="epub-date"/>
    <w:basedOn w:val="DefaultParagraphFont"/>
    <w:rsid w:val="007F6345"/>
  </w:style>
  <w:style w:type="character" w:customStyle="1" w:styleId="Heading1Char">
    <w:name w:val="Heading 1 Char"/>
    <w:basedOn w:val="DefaultParagraphFont"/>
    <w:link w:val="Heading1"/>
    <w:uiPriority w:val="9"/>
    <w:rsid w:val="007F6345"/>
    <w:rPr>
      <w:rFonts w:asciiTheme="majorHAnsi" w:eastAsiaTheme="majorEastAsia" w:hAnsiTheme="majorHAnsi" w:cstheme="majorBidi"/>
      <w:b/>
      <w:bCs/>
      <w:color w:val="365F91" w:themeColor="accent1" w:themeShade="BF"/>
      <w:sz w:val="28"/>
      <w:szCs w:val="28"/>
      <w:lang w:eastAsia="en-GB"/>
    </w:rPr>
  </w:style>
  <w:style w:type="character" w:customStyle="1" w:styleId="hiddenreadable">
    <w:name w:val="hiddenreadable"/>
    <w:basedOn w:val="DefaultParagraphFont"/>
    <w:rsid w:val="007F6345"/>
  </w:style>
  <w:style w:type="character" w:customStyle="1" w:styleId="Heading4Char">
    <w:name w:val="Heading 4 Char"/>
    <w:basedOn w:val="DefaultParagraphFont"/>
    <w:link w:val="Heading4"/>
    <w:uiPriority w:val="9"/>
    <w:rsid w:val="001B5D6C"/>
    <w:rPr>
      <w:rFonts w:asciiTheme="majorHAnsi" w:eastAsiaTheme="majorEastAsia" w:hAnsiTheme="majorHAnsi" w:cstheme="majorBidi"/>
      <w:b/>
      <w:bCs/>
      <w:i/>
      <w:iCs/>
      <w:color w:val="4F81BD" w:themeColor="accent1"/>
      <w:sz w:val="20"/>
      <w:szCs w:val="20"/>
      <w:lang w:eastAsia="en-GB"/>
    </w:rPr>
  </w:style>
  <w:style w:type="character" w:customStyle="1" w:styleId="mixed-citation">
    <w:name w:val="mixed-citation"/>
    <w:basedOn w:val="DefaultParagraphFont"/>
    <w:rsid w:val="00142366"/>
  </w:style>
  <w:style w:type="character" w:customStyle="1" w:styleId="name">
    <w:name w:val="name"/>
    <w:basedOn w:val="DefaultParagraphFont"/>
    <w:rsid w:val="00142366"/>
  </w:style>
  <w:style w:type="character" w:customStyle="1" w:styleId="surname">
    <w:name w:val="surname"/>
    <w:basedOn w:val="DefaultParagraphFont"/>
    <w:rsid w:val="00142366"/>
  </w:style>
  <w:style w:type="character" w:customStyle="1" w:styleId="given-names">
    <w:name w:val="given-names"/>
    <w:basedOn w:val="DefaultParagraphFont"/>
    <w:rsid w:val="00142366"/>
  </w:style>
  <w:style w:type="character" w:customStyle="1" w:styleId="article-title">
    <w:name w:val="article-title"/>
    <w:basedOn w:val="DefaultParagraphFont"/>
    <w:rsid w:val="00142366"/>
  </w:style>
  <w:style w:type="character" w:customStyle="1" w:styleId="source">
    <w:name w:val="source"/>
    <w:basedOn w:val="DefaultParagraphFont"/>
    <w:rsid w:val="00142366"/>
  </w:style>
  <w:style w:type="character" w:customStyle="1" w:styleId="year">
    <w:name w:val="year"/>
    <w:basedOn w:val="DefaultParagraphFont"/>
    <w:rsid w:val="00142366"/>
  </w:style>
  <w:style w:type="character" w:customStyle="1" w:styleId="volume">
    <w:name w:val="volume"/>
    <w:basedOn w:val="DefaultParagraphFont"/>
    <w:rsid w:val="00142366"/>
  </w:style>
  <w:style w:type="character" w:customStyle="1" w:styleId="fpage">
    <w:name w:val="fpage"/>
    <w:basedOn w:val="DefaultParagraphFont"/>
    <w:rsid w:val="00142366"/>
  </w:style>
  <w:style w:type="character" w:customStyle="1" w:styleId="lpage">
    <w:name w:val="lpage"/>
    <w:basedOn w:val="DefaultParagraphFont"/>
    <w:rsid w:val="00142366"/>
  </w:style>
  <w:style w:type="character" w:customStyle="1" w:styleId="resolver-links">
    <w:name w:val="resolver-links"/>
    <w:basedOn w:val="DefaultParagraphFont"/>
    <w:rsid w:val="00142366"/>
  </w:style>
  <w:style w:type="character" w:customStyle="1" w:styleId="label">
    <w:name w:val="label"/>
    <w:basedOn w:val="DefaultParagraphFont"/>
    <w:rsid w:val="0014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161">
      <w:bodyDiv w:val="1"/>
      <w:marLeft w:val="0"/>
      <w:marRight w:val="0"/>
      <w:marTop w:val="0"/>
      <w:marBottom w:val="0"/>
      <w:divBdr>
        <w:top w:val="none" w:sz="0" w:space="0" w:color="auto"/>
        <w:left w:val="none" w:sz="0" w:space="0" w:color="auto"/>
        <w:bottom w:val="none" w:sz="0" w:space="0" w:color="auto"/>
        <w:right w:val="none" w:sz="0" w:space="0" w:color="auto"/>
      </w:divBdr>
      <w:divsChild>
        <w:div w:id="424377131">
          <w:marLeft w:val="0"/>
          <w:marRight w:val="0"/>
          <w:marTop w:val="0"/>
          <w:marBottom w:val="0"/>
          <w:divBdr>
            <w:top w:val="none" w:sz="0" w:space="0" w:color="auto"/>
            <w:left w:val="none" w:sz="0" w:space="0" w:color="auto"/>
            <w:bottom w:val="none" w:sz="0" w:space="0" w:color="auto"/>
            <w:right w:val="none" w:sz="0" w:space="0" w:color="auto"/>
          </w:divBdr>
        </w:div>
        <w:div w:id="1353335522">
          <w:marLeft w:val="0"/>
          <w:marRight w:val="0"/>
          <w:marTop w:val="0"/>
          <w:marBottom w:val="0"/>
          <w:divBdr>
            <w:top w:val="none" w:sz="0" w:space="0" w:color="auto"/>
            <w:left w:val="none" w:sz="0" w:space="0" w:color="auto"/>
            <w:bottom w:val="none" w:sz="0" w:space="0" w:color="auto"/>
            <w:right w:val="none" w:sz="0" w:space="0" w:color="auto"/>
          </w:divBdr>
        </w:div>
        <w:div w:id="550923605">
          <w:marLeft w:val="-135"/>
          <w:marRight w:val="0"/>
          <w:marTop w:val="0"/>
          <w:marBottom w:val="0"/>
          <w:divBdr>
            <w:top w:val="none" w:sz="0" w:space="0" w:color="auto"/>
            <w:left w:val="none" w:sz="0" w:space="0" w:color="auto"/>
            <w:bottom w:val="none" w:sz="0" w:space="0" w:color="auto"/>
            <w:right w:val="none" w:sz="0" w:space="0" w:color="auto"/>
          </w:divBdr>
          <w:divsChild>
            <w:div w:id="1386878304">
              <w:marLeft w:val="0"/>
              <w:marRight w:val="0"/>
              <w:marTop w:val="0"/>
              <w:marBottom w:val="0"/>
              <w:divBdr>
                <w:top w:val="none" w:sz="0" w:space="0" w:color="auto"/>
                <w:left w:val="none" w:sz="0" w:space="0" w:color="auto"/>
                <w:bottom w:val="none" w:sz="0" w:space="0" w:color="auto"/>
                <w:right w:val="none" w:sz="0" w:space="0" w:color="auto"/>
              </w:divBdr>
              <w:divsChild>
                <w:div w:id="1491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58811">
      <w:bodyDiv w:val="1"/>
      <w:marLeft w:val="0"/>
      <w:marRight w:val="0"/>
      <w:marTop w:val="0"/>
      <w:marBottom w:val="0"/>
      <w:divBdr>
        <w:top w:val="none" w:sz="0" w:space="0" w:color="auto"/>
        <w:left w:val="none" w:sz="0" w:space="0" w:color="auto"/>
        <w:bottom w:val="none" w:sz="0" w:space="0" w:color="auto"/>
        <w:right w:val="none" w:sz="0" w:space="0" w:color="auto"/>
      </w:divBdr>
    </w:div>
    <w:div w:id="1962804316">
      <w:bodyDiv w:val="1"/>
      <w:marLeft w:val="0"/>
      <w:marRight w:val="0"/>
      <w:marTop w:val="0"/>
      <w:marBottom w:val="0"/>
      <w:divBdr>
        <w:top w:val="none" w:sz="0" w:space="0" w:color="auto"/>
        <w:left w:val="none" w:sz="0" w:space="0" w:color="auto"/>
        <w:bottom w:val="none" w:sz="0" w:space="0" w:color="auto"/>
        <w:right w:val="none" w:sz="0" w:space="0" w:color="auto"/>
      </w:divBdr>
      <w:divsChild>
        <w:div w:id="674460558">
          <w:marLeft w:val="0"/>
          <w:marRight w:val="0"/>
          <w:marTop w:val="120"/>
          <w:marBottom w:val="120"/>
          <w:divBdr>
            <w:top w:val="none" w:sz="0" w:space="0" w:color="auto"/>
            <w:left w:val="none" w:sz="0" w:space="0" w:color="auto"/>
            <w:bottom w:val="none" w:sz="0" w:space="0" w:color="auto"/>
            <w:right w:val="none" w:sz="0" w:space="0" w:color="auto"/>
          </w:divBdr>
        </w:div>
        <w:div w:id="933368012">
          <w:marLeft w:val="0"/>
          <w:marRight w:val="0"/>
          <w:marTop w:val="120"/>
          <w:marBottom w:val="120"/>
          <w:divBdr>
            <w:top w:val="dotted" w:sz="6" w:space="6" w:color="C3BFBB"/>
            <w:left w:val="none" w:sz="0" w:space="0" w:color="auto"/>
            <w:bottom w:val="none" w:sz="0" w:space="0" w:color="auto"/>
            <w:right w:val="none" w:sz="0" w:space="0" w:color="auto"/>
          </w:divBdr>
        </w:div>
      </w:divsChild>
    </w:div>
    <w:div w:id="1965574719">
      <w:bodyDiv w:val="1"/>
      <w:marLeft w:val="0"/>
      <w:marRight w:val="0"/>
      <w:marTop w:val="0"/>
      <w:marBottom w:val="0"/>
      <w:divBdr>
        <w:top w:val="none" w:sz="0" w:space="0" w:color="auto"/>
        <w:left w:val="none" w:sz="0" w:space="0" w:color="auto"/>
        <w:bottom w:val="none" w:sz="0" w:space="0" w:color="auto"/>
        <w:right w:val="none" w:sz="0" w:space="0" w:color="auto"/>
      </w:divBdr>
      <w:divsChild>
        <w:div w:id="385762438">
          <w:marLeft w:val="0"/>
          <w:marRight w:val="0"/>
          <w:marTop w:val="225"/>
          <w:marBottom w:val="225"/>
          <w:divBdr>
            <w:top w:val="none" w:sz="0" w:space="0" w:color="auto"/>
            <w:left w:val="none" w:sz="0" w:space="0" w:color="auto"/>
            <w:bottom w:val="none" w:sz="0" w:space="0" w:color="auto"/>
            <w:right w:val="none" w:sz="0" w:space="0" w:color="auto"/>
          </w:divBdr>
          <w:divsChild>
            <w:div w:id="2012172818">
              <w:marLeft w:val="0"/>
              <w:marRight w:val="0"/>
              <w:marTop w:val="0"/>
              <w:marBottom w:val="0"/>
              <w:divBdr>
                <w:top w:val="none" w:sz="0" w:space="0" w:color="auto"/>
                <w:left w:val="none" w:sz="0" w:space="0" w:color="auto"/>
                <w:bottom w:val="none" w:sz="0" w:space="0" w:color="auto"/>
                <w:right w:val="none" w:sz="0" w:space="0" w:color="auto"/>
              </w:divBdr>
              <w:divsChild>
                <w:div w:id="2121950822">
                  <w:marLeft w:val="0"/>
                  <w:marRight w:val="0"/>
                  <w:marTop w:val="0"/>
                  <w:marBottom w:val="0"/>
                  <w:divBdr>
                    <w:top w:val="none" w:sz="0" w:space="0" w:color="auto"/>
                    <w:left w:val="none" w:sz="0" w:space="0" w:color="auto"/>
                    <w:bottom w:val="none" w:sz="0" w:space="0" w:color="auto"/>
                    <w:right w:val="none" w:sz="0" w:space="0" w:color="auto"/>
                  </w:divBdr>
                  <w:divsChild>
                    <w:div w:id="264731346">
                      <w:marLeft w:val="0"/>
                      <w:marRight w:val="0"/>
                      <w:marTop w:val="0"/>
                      <w:marBottom w:val="0"/>
                      <w:divBdr>
                        <w:top w:val="none" w:sz="0" w:space="0" w:color="auto"/>
                        <w:left w:val="none" w:sz="0" w:space="0" w:color="auto"/>
                        <w:bottom w:val="none" w:sz="0" w:space="0" w:color="auto"/>
                        <w:right w:val="none" w:sz="0" w:space="0" w:color="auto"/>
                      </w:divBdr>
                    </w:div>
                    <w:div w:id="1705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4146">
          <w:marLeft w:val="0"/>
          <w:marRight w:val="0"/>
          <w:marTop w:val="225"/>
          <w:marBottom w:val="225"/>
          <w:divBdr>
            <w:top w:val="none" w:sz="0" w:space="0" w:color="auto"/>
            <w:left w:val="none" w:sz="0" w:space="0" w:color="auto"/>
            <w:bottom w:val="none" w:sz="0" w:space="0" w:color="auto"/>
            <w:right w:val="none" w:sz="0" w:space="0" w:color="auto"/>
          </w:divBdr>
          <w:divsChild>
            <w:div w:id="1973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mcdda.europa.eu/attachements.cfm/att_154996_EN_Heroin%20Insigh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cdda.europa.eu/attachements.cfm/att_154996_EN_Heroin%20Insigh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E744-A9E8-1947-A2AB-4EC034D2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annemarie ward</cp:lastModifiedBy>
  <cp:revision>2</cp:revision>
  <cp:lastPrinted>2018-05-08T13:20:00Z</cp:lastPrinted>
  <dcterms:created xsi:type="dcterms:W3CDTF">2021-11-22T23:06:00Z</dcterms:created>
  <dcterms:modified xsi:type="dcterms:W3CDTF">2021-11-22T23:06:00Z</dcterms:modified>
</cp:coreProperties>
</file>