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048CD" w14:textId="77777777" w:rsidR="00A321AB" w:rsidRDefault="00A321AB" w:rsidP="00A321AB"/>
    <w:p w14:paraId="429586C3" w14:textId="77777777" w:rsidR="00A321AB" w:rsidRDefault="00A321AB" w:rsidP="00A321AB"/>
    <w:p w14:paraId="7D5FB9B5" w14:textId="721DBDEE" w:rsidR="00A321AB" w:rsidRDefault="00F4669D" w:rsidP="00A321AB">
      <w:pPr>
        <w:jc w:val="center"/>
        <w:rPr>
          <w:b/>
          <w:sz w:val="36"/>
        </w:rPr>
      </w:pPr>
      <w:r>
        <w:rPr>
          <w:b/>
          <w:caps/>
          <w:sz w:val="36"/>
        </w:rPr>
        <w:t xml:space="preserve">RIGHT TO ADDICTION RECOVERY (sCOTLAND) </w:t>
      </w:r>
      <w:r w:rsidR="00A321AB">
        <w:rPr>
          <w:b/>
          <w:sz w:val="36"/>
        </w:rPr>
        <w:t>BILL</w:t>
      </w:r>
    </w:p>
    <w:p w14:paraId="5C6450E9" w14:textId="77777777" w:rsidR="00A321AB" w:rsidRDefault="00A321AB" w:rsidP="00A321AB">
      <w:pPr>
        <w:jc w:val="center"/>
        <w:rPr>
          <w:b/>
          <w:sz w:val="36"/>
        </w:rPr>
      </w:pPr>
    </w:p>
    <w:p w14:paraId="0F80D3BD" w14:textId="77777777" w:rsidR="00A321AB" w:rsidRDefault="00A321AB" w:rsidP="00A321AB">
      <w:pPr>
        <w:jc w:val="center"/>
      </w:pPr>
      <w:r>
        <w:t>——————————</w:t>
      </w:r>
    </w:p>
    <w:p w14:paraId="5C47AC03" w14:textId="77777777" w:rsidR="00A321AB" w:rsidRDefault="00A321AB" w:rsidP="00A321AB"/>
    <w:p w14:paraId="449ECB54" w14:textId="77777777" w:rsidR="00A321AB" w:rsidRDefault="00D8523F" w:rsidP="00A321AB">
      <w:pPr>
        <w:pStyle w:val="BillADHeading1"/>
      </w:pPr>
      <w:r>
        <w:t>E</w:t>
      </w:r>
      <w:r w:rsidR="00B329F6">
        <w:t>xplanatory Notes</w:t>
      </w:r>
    </w:p>
    <w:p w14:paraId="26B3E741" w14:textId="77777777" w:rsidR="00A321AB" w:rsidRDefault="00B329F6" w:rsidP="00F839C6">
      <w:pPr>
        <w:pStyle w:val="BillADHeading2"/>
      </w:pPr>
      <w:r>
        <w:t>I</w:t>
      </w:r>
      <w:r w:rsidR="00A321AB">
        <w:t>ntroduction</w:t>
      </w:r>
    </w:p>
    <w:p w14:paraId="5EBB69F3" w14:textId="77257EE1" w:rsidR="00F5085D" w:rsidRDefault="00EE7F9E" w:rsidP="0019531B">
      <w:pPr>
        <w:pStyle w:val="BillADPara"/>
        <w:numPr>
          <w:ilvl w:val="0"/>
          <w:numId w:val="32"/>
        </w:numPr>
      </w:pPr>
      <w:r>
        <w:t>As required under Rule 9.3.2A of the Parliament’s Standing Orders, these Explanatory Notes are published to accompany the</w:t>
      </w:r>
      <w:r w:rsidR="00A321AB">
        <w:t xml:space="preserve"> </w:t>
      </w:r>
      <w:r w:rsidR="00F4669D">
        <w:t>Right to Addiction Recovery (Scotland) Bill</w:t>
      </w:r>
      <w:r>
        <w:t>, introduced in the Scottish Parliament on</w:t>
      </w:r>
      <w:r w:rsidR="00A321AB">
        <w:t xml:space="preserve"> </w:t>
      </w:r>
      <w:r w:rsidR="003B41CC">
        <w:t>14 May 2024.</w:t>
      </w:r>
      <w:r w:rsidR="00A321AB">
        <w:t xml:space="preserve"> </w:t>
      </w:r>
    </w:p>
    <w:p w14:paraId="56DC781A" w14:textId="77777777" w:rsidR="00F5085D" w:rsidRDefault="00EE7F9E" w:rsidP="0019531B">
      <w:pPr>
        <w:pStyle w:val="BillADParaAfter6pt"/>
      </w:pPr>
      <w:r>
        <w:t>The following other accompanying documents are published separately</w:t>
      </w:r>
      <w:r w:rsidR="00F5085D">
        <w:t>:</w:t>
      </w:r>
    </w:p>
    <w:p w14:paraId="62F85BB4" w14:textId="77777777" w:rsidR="006D3453" w:rsidRDefault="006D3453" w:rsidP="006D3453">
      <w:pPr>
        <w:pStyle w:val="BillADBullet"/>
      </w:pPr>
      <w:r>
        <w:t xml:space="preserve">a Financial Memorandum (SP Bill </w:t>
      </w:r>
      <w:fldSimple w:instr=" DOCPROPERTY &quot;Bill Number&quot;  \* MERGEFORMAT ">
        <w:r>
          <w:t>&lt;Bill Number&gt;</w:t>
        </w:r>
      </w:fldSimple>
      <w:r>
        <w:t>–FM);</w:t>
      </w:r>
    </w:p>
    <w:p w14:paraId="6CE2F58F" w14:textId="77777777" w:rsidR="006D3453" w:rsidRDefault="006D3453" w:rsidP="006D3453">
      <w:pPr>
        <w:pStyle w:val="BillADBullet"/>
      </w:pPr>
      <w:r>
        <w:t xml:space="preserve">a Policy Memorandum (SP Bill </w:t>
      </w:r>
      <w:fldSimple w:instr=" DOCPROPERTY &quot;Bill Number&quot;  \* MERGEFORMAT ">
        <w:r>
          <w:t>&lt;Bill Number&gt;</w:t>
        </w:r>
      </w:fldSimple>
      <w:r>
        <w:t>–PM);</w:t>
      </w:r>
    </w:p>
    <w:p w14:paraId="59F361BD" w14:textId="77777777" w:rsidR="00E13BEF" w:rsidRDefault="00E13BEF" w:rsidP="006D3453">
      <w:pPr>
        <w:pStyle w:val="BillADBullet"/>
      </w:pPr>
      <w:r>
        <w:t xml:space="preserve">a Delegated Powers Memorandum (SP Bill </w:t>
      </w:r>
      <w:fldSimple w:instr=" DOCPROPERTY &quot;Bill Number&quot;  \* MERGEFORMAT ">
        <w:r>
          <w:t>&lt;Bill Number&gt;</w:t>
        </w:r>
      </w:fldSimple>
      <w:r>
        <w:t>–</w:t>
      </w:r>
      <w:proofErr w:type="spellStart"/>
      <w:r>
        <w:t>DPM</w:t>
      </w:r>
      <w:proofErr w:type="spellEnd"/>
      <w:r>
        <w:t>);</w:t>
      </w:r>
    </w:p>
    <w:p w14:paraId="68F973FD" w14:textId="77777777" w:rsidR="00EE7F9E" w:rsidRDefault="00EE7F9E" w:rsidP="00437E19">
      <w:pPr>
        <w:pStyle w:val="BillADBulletAfter18pt"/>
      </w:pPr>
      <w:r>
        <w:t xml:space="preserve">statements on legislative competence made by the </w:t>
      </w:r>
      <w:r w:rsidR="0019531B">
        <w:t xml:space="preserve">Presiding Officer </w:t>
      </w:r>
      <w:r>
        <w:t xml:space="preserve">and </w:t>
      </w:r>
      <w:r w:rsidR="0019531B">
        <w:t xml:space="preserve">the Scottish Government </w:t>
      </w:r>
      <w:r>
        <w:t xml:space="preserve">(SP Bill </w:t>
      </w:r>
      <w:fldSimple w:instr=" DOCPROPERTY &quot;Bill Number&quot;  \* MERGEFORMAT ">
        <w:r w:rsidR="00515783">
          <w:t>&lt;Bill Number&gt;</w:t>
        </w:r>
      </w:fldSimple>
      <w:r w:rsidR="006D3453">
        <w:t>––LC).</w:t>
      </w:r>
    </w:p>
    <w:p w14:paraId="44E39311" w14:textId="6EA80D37" w:rsidR="003430C4" w:rsidRDefault="00F5085D" w:rsidP="0011003B">
      <w:pPr>
        <w:pStyle w:val="BillADPara"/>
      </w:pPr>
      <w:r>
        <w:t>The</w:t>
      </w:r>
      <w:r w:rsidR="003430C4">
        <w:t>se</w:t>
      </w:r>
      <w:r>
        <w:t xml:space="preserve"> Explanatory Notes</w:t>
      </w:r>
      <w:r w:rsidR="003430C4">
        <w:t xml:space="preserve"> have been prepared by the </w:t>
      </w:r>
      <w:r w:rsidR="00267407">
        <w:t xml:space="preserve">Non-Government Bills Unit, on behalf of Douglas Ross MSP, the Member who introduced the Bill, </w:t>
      </w:r>
      <w:r w:rsidR="003430C4">
        <w:t>in order to assist the reader of the Bill and to help inform debate on it.</w:t>
      </w:r>
      <w:r>
        <w:t xml:space="preserve"> They do not form part of the Bill and have not be</w:t>
      </w:r>
      <w:r w:rsidR="003430C4">
        <w:t>en endorsed by the Parliament.</w:t>
      </w:r>
    </w:p>
    <w:p w14:paraId="698DCB11" w14:textId="684276EA" w:rsidR="00F5085D" w:rsidRDefault="00F5085D" w:rsidP="0011003B">
      <w:pPr>
        <w:pStyle w:val="BillADPara"/>
      </w:pPr>
      <w:r>
        <w:t>The Notes should be read in conjunction with the Bill. They are not, and are not meant to be, a comprehensive description of the Bill. So where a section or a part of a section does not seem to require any explanation or comment, none is given.</w:t>
      </w:r>
    </w:p>
    <w:p w14:paraId="39E6D10E" w14:textId="08520614" w:rsidR="004579AF" w:rsidRDefault="004C242C" w:rsidP="00F839C6">
      <w:pPr>
        <w:pStyle w:val="BillADHeading2"/>
      </w:pPr>
      <w:r>
        <w:t>overview and summary</w:t>
      </w:r>
    </w:p>
    <w:p w14:paraId="09F6E970" w14:textId="110F1051" w:rsidR="0063583F" w:rsidRDefault="0063583F" w:rsidP="0063583F">
      <w:pPr>
        <w:pStyle w:val="BillADPara"/>
      </w:pPr>
      <w:r>
        <w:t xml:space="preserve">The Bill provides for a right for anyone diagnosed as having a drug and/or alcohol addiction to receive a treatment determination and for the person to be provided with that treatment as soon as reasonably practicable and no later than three weeks from the date of the determination. The Bill </w:t>
      </w:r>
      <w:r w:rsidRPr="0063583F">
        <w:t>provides that Scottish Ministers must secure the delivery of all of these rights</w:t>
      </w:r>
      <w:r>
        <w:t xml:space="preserve"> and obliges them to make regulations setting out how they will fulfil that duty. In doing so, it gives Scottish Ministers the power to confer functions on health boards, special health boards, the Common Services Agency, local authorities and integration joint boards.  The Bill also requires Scottish Ministers to prepare a code of practice to go alongside these regulations.  </w:t>
      </w:r>
      <w:r w:rsidRPr="0063583F">
        <w:t>The Bill enables those individuals to participate in the decision</w:t>
      </w:r>
      <w:r>
        <w:t xml:space="preserve"> </w:t>
      </w:r>
      <w:r w:rsidRPr="0063583F">
        <w:t xml:space="preserve">making process about their treatment and for that treatment to commence no later than three weeks from the date of the determination.  </w:t>
      </w:r>
      <w:r>
        <w:t xml:space="preserve">The Bill also requires the Ministers to report annually to the Parliament on progress made towards achieving the </w:t>
      </w:r>
      <w:r>
        <w:lastRenderedPageBreak/>
        <w:t xml:space="preserve">provision of the treatments under this Bill. The Bill requires the Ministers, before preparing a report, to consult representatives of patients and people with lived experience of drug or alcohol addiction, as well as health boards, special health boards, the Common Services Agency, local authorities, and integration joint boards. </w:t>
      </w:r>
    </w:p>
    <w:p w14:paraId="6ED0F2B3" w14:textId="39A28757" w:rsidR="007F44EA" w:rsidRDefault="007F44EA" w:rsidP="0011003B">
      <w:pPr>
        <w:pStyle w:val="BillADPara"/>
      </w:pPr>
      <w:r>
        <w:t xml:space="preserve">These </w:t>
      </w:r>
      <w:r w:rsidR="009C1027">
        <w:t>Explanatory N</w:t>
      </w:r>
      <w:r>
        <w:t>otes use the term “relevant health professional</w:t>
      </w:r>
      <w:r w:rsidR="000B7B32">
        <w:t>”</w:t>
      </w:r>
      <w:r>
        <w:t xml:space="preserve"> to cover medical practitioners, nurse independent prescribers and pharmacist independent prescribers (as </w:t>
      </w:r>
      <w:r w:rsidR="009C1027">
        <w:t>set out in section 9 (interpretation) of the Bill).</w:t>
      </w:r>
      <w:r>
        <w:t xml:space="preserve">  </w:t>
      </w:r>
    </w:p>
    <w:p w14:paraId="0D846471" w14:textId="77777777" w:rsidR="00F839C6" w:rsidRDefault="00F839C6" w:rsidP="00F839C6">
      <w:pPr>
        <w:pStyle w:val="BillADPara"/>
      </w:pPr>
      <w:r>
        <w:t xml:space="preserve">The Bill is in 11 sections. </w:t>
      </w:r>
    </w:p>
    <w:p w14:paraId="519A4351" w14:textId="372F4618" w:rsidR="004C242C" w:rsidRDefault="004C242C" w:rsidP="00F839C6">
      <w:pPr>
        <w:pStyle w:val="BillADHeading2"/>
      </w:pPr>
      <w:r>
        <w:t>commentary on sections</w:t>
      </w:r>
    </w:p>
    <w:p w14:paraId="2BA0E0DC" w14:textId="3E08A3CB" w:rsidR="00081509" w:rsidRPr="00081509" w:rsidRDefault="00081509" w:rsidP="00081509">
      <w:pPr>
        <w:pStyle w:val="BillADHeading3"/>
      </w:pPr>
      <w:r>
        <w:t>Right to Recovery</w:t>
      </w:r>
    </w:p>
    <w:p w14:paraId="3BBBFBC1" w14:textId="78050467" w:rsidR="004C242C" w:rsidRPr="004C242C" w:rsidRDefault="004C242C" w:rsidP="001B3DF0">
      <w:pPr>
        <w:pStyle w:val="BillADHeading4"/>
      </w:pPr>
      <w:r>
        <w:t xml:space="preserve">Section 1 </w:t>
      </w:r>
      <w:r w:rsidR="00541785">
        <w:t>–</w:t>
      </w:r>
      <w:r>
        <w:t xml:space="preserve"> </w:t>
      </w:r>
      <w:r w:rsidR="00541785">
        <w:t>Right to recovery</w:t>
      </w:r>
    </w:p>
    <w:p w14:paraId="2DF5C1B1" w14:textId="22E5AB46" w:rsidR="00F839C6" w:rsidRDefault="00F839C6" w:rsidP="00F839C6">
      <w:pPr>
        <w:pStyle w:val="BillADPara"/>
      </w:pPr>
      <w:r>
        <w:t>Subsection (1) provide</w:t>
      </w:r>
      <w:r w:rsidR="00C2196D">
        <w:t>s</w:t>
      </w:r>
      <w:r>
        <w:t xml:space="preserve"> that, where a person is diagnosed as having a drug or alcohol addiction, then that person has the right to (a) be informed as</w:t>
      </w:r>
      <w:r w:rsidR="00A170CC">
        <w:t xml:space="preserve"> to</w:t>
      </w:r>
      <w:r>
        <w:t xml:space="preserve"> what the appropriate treatment is to be (as required by subsection (3), having gone through the process set out in section 2) and (b) to be provided with it. </w:t>
      </w:r>
    </w:p>
    <w:p w14:paraId="7DDDA59F" w14:textId="193AA427" w:rsidR="00F839C6" w:rsidRDefault="00F839C6" w:rsidP="00F839C6">
      <w:pPr>
        <w:pStyle w:val="BillADPara"/>
      </w:pPr>
      <w:r>
        <w:t xml:space="preserve">Subsection (2) provides that a person must be diagnosed as having a drug or alcohol addiction by a relevant health professional. Section 9 (interpretation) defines a relevant health professional as a medical practitioner, nurse independent prescriber or pharmacist independent prescriber. </w:t>
      </w:r>
    </w:p>
    <w:p w14:paraId="3B27C32B" w14:textId="58401CF6" w:rsidR="00F839C6" w:rsidRDefault="00F839C6" w:rsidP="00F839C6">
      <w:pPr>
        <w:pStyle w:val="BillADPara"/>
      </w:pPr>
      <w:r>
        <w:t>The effect of subsection (4) is that, by bringing in the treatments to be provided under this Bill as a service under the National Health Service (Scotland) Act 1978</w:t>
      </w:r>
      <w:r w:rsidR="00F13AE6">
        <w:t>,</w:t>
      </w:r>
      <w:r w:rsidR="00C2196D">
        <w:rPr>
          <w:rStyle w:val="FootnoteReference"/>
        </w:rPr>
        <w:footnoteReference w:id="2"/>
      </w:r>
      <w:r>
        <w:t xml:space="preserve"> </w:t>
      </w:r>
      <w:r w:rsidR="00DF5C39">
        <w:t xml:space="preserve">the </w:t>
      </w:r>
      <w:r>
        <w:t>Ministers may charge those not ordinarily resident in Great Britain for those services.</w:t>
      </w:r>
      <w:r w:rsidR="00A170CC">
        <w:t xml:space="preserve"> This is the same as for other NHS treatments. As with other NHS treatments, drug or alcohol treatment under this section would be free for those ordinarily resident in Great Britain.</w:t>
      </w:r>
    </w:p>
    <w:p w14:paraId="328663AC" w14:textId="77777777" w:rsidR="00F839C6" w:rsidRDefault="00F839C6" w:rsidP="00F839C6">
      <w:pPr>
        <w:pStyle w:val="BillADPara"/>
      </w:pPr>
      <w:r>
        <w:t xml:space="preserve">Subsection (5) sets out a non-exclusive list of treatments that may be provided. Subsection (6) provides that the Ministers may add to that non-exclusive list by regulations. </w:t>
      </w:r>
    </w:p>
    <w:p w14:paraId="6978316C" w14:textId="13211C4C" w:rsidR="00F839C6" w:rsidRDefault="00F839C6" w:rsidP="00F839C6">
      <w:pPr>
        <w:pStyle w:val="BillADPara"/>
      </w:pPr>
      <w:r>
        <w:t>Section 8</w:t>
      </w:r>
      <w:r w:rsidR="00C2196D">
        <w:t xml:space="preserve"> (Regulations)</w:t>
      </w:r>
      <w:r>
        <w:t xml:space="preserve"> provides that the regulations under subsection (6) are subject to the affirmative procedure. This means that </w:t>
      </w:r>
      <w:r w:rsidRPr="00F839C6">
        <w:rPr>
          <w:szCs w:val="24"/>
        </w:rPr>
        <w:t xml:space="preserve">regulations must be laid in draft before the Parliament for approval by resolution. </w:t>
      </w:r>
    </w:p>
    <w:p w14:paraId="04A707C3" w14:textId="356A9933" w:rsidR="00F839C6" w:rsidRDefault="00F839C6" w:rsidP="001B3DF0">
      <w:pPr>
        <w:pStyle w:val="BillADHeading4"/>
      </w:pPr>
      <w:r>
        <w:lastRenderedPageBreak/>
        <w:t>Section 2 – Procedure for determining treatment</w:t>
      </w:r>
    </w:p>
    <w:p w14:paraId="66F0B43F" w14:textId="4B8B1B11" w:rsidR="00F839C6" w:rsidRDefault="00F839C6" w:rsidP="00F839C6">
      <w:pPr>
        <w:pStyle w:val="BillADPara"/>
      </w:pPr>
      <w:r>
        <w:t xml:space="preserve">Section 2 sets out </w:t>
      </w:r>
      <w:r w:rsidR="008D6589">
        <w:t>the</w:t>
      </w:r>
      <w:r>
        <w:t xml:space="preserve"> procedure </w:t>
      </w:r>
      <w:r w:rsidR="007F44EA">
        <w:t xml:space="preserve">the relevant health professional must follow in </w:t>
      </w:r>
      <w:r>
        <w:t>determining treatment</w:t>
      </w:r>
      <w:r w:rsidR="009C1027">
        <w:t>, in particular that they</w:t>
      </w:r>
      <w:r>
        <w:t xml:space="preserve"> should explain each of these treatments to the person</w:t>
      </w:r>
      <w:r w:rsidR="00F13AE6">
        <w:t xml:space="preserve"> and</w:t>
      </w:r>
      <w:r>
        <w:t xml:space="preserve"> their suitability to meet the person’s needs</w:t>
      </w:r>
      <w:r w:rsidR="00F13AE6">
        <w:t>,</w:t>
      </w:r>
      <w:r w:rsidR="009C1027">
        <w:t xml:space="preserve"> and encourage them to participate in the discussion</w:t>
      </w:r>
      <w:r>
        <w:t>.</w:t>
      </w:r>
    </w:p>
    <w:p w14:paraId="0E34216D" w14:textId="2B2EEF7F" w:rsidR="00F839C6" w:rsidRDefault="00F839C6" w:rsidP="006C4CD8">
      <w:pPr>
        <w:pStyle w:val="BillADPara"/>
      </w:pPr>
      <w:r>
        <w:t xml:space="preserve">Subsection (2) </w:t>
      </w:r>
      <w:r w:rsidR="007C6AFE">
        <w:t xml:space="preserve">gives the opportunity to the </w:t>
      </w:r>
      <w:r>
        <w:t xml:space="preserve">patient </w:t>
      </w:r>
      <w:r w:rsidR="007C6AFE">
        <w:t>to specifically</w:t>
      </w:r>
      <w:r>
        <w:t xml:space="preserve"> request one or more of the treatments listed in section 1(5) </w:t>
      </w:r>
      <w:r w:rsidR="007C6AFE">
        <w:t>but</w:t>
      </w:r>
      <w:r w:rsidR="006C4CD8">
        <w:t xml:space="preserve"> </w:t>
      </w:r>
      <w:r w:rsidR="007C6AFE">
        <w:t xml:space="preserve">ultimately </w:t>
      </w:r>
      <w:r w:rsidR="006C4CD8">
        <w:t xml:space="preserve">the decision </w:t>
      </w:r>
      <w:r w:rsidR="007C6AFE">
        <w:t xml:space="preserve">as to what </w:t>
      </w:r>
      <w:r w:rsidR="006739ED">
        <w:t xml:space="preserve">the most appropriate treatment is for the patient </w:t>
      </w:r>
      <w:r w:rsidR="006C4CD8">
        <w:t xml:space="preserve">is </w:t>
      </w:r>
      <w:r w:rsidR="006739ED">
        <w:t xml:space="preserve">for </w:t>
      </w:r>
      <w:r w:rsidR="006C4CD8">
        <w:t>relevant health professional</w:t>
      </w:r>
      <w:r w:rsidR="006739ED">
        <w:t>.</w:t>
      </w:r>
    </w:p>
    <w:p w14:paraId="2236B606" w14:textId="38757B71" w:rsidR="006C4CD8" w:rsidRDefault="006C4CD8" w:rsidP="006C4CD8">
      <w:pPr>
        <w:pStyle w:val="BillADPara"/>
      </w:pPr>
      <w:r>
        <w:t>Subsection (3) applies where a relevant health professional determines that no treatment is appropriate or that a treatment requested by the patient is not appropriate</w:t>
      </w:r>
      <w:r w:rsidR="006739ED">
        <w:t xml:space="preserve"> for them</w:t>
      </w:r>
      <w:r w:rsidR="00EF46C2">
        <w:t>, even where the patient is content with the subsequent treatment determination</w:t>
      </w:r>
      <w:r>
        <w:t>. In that situation, subsection (3)(a) requires the relevant health professional to provide a written statement of reasons to the patient</w:t>
      </w:r>
      <w:r w:rsidR="00F13AE6">
        <w:t xml:space="preserve"> </w:t>
      </w:r>
      <w:r>
        <w:t xml:space="preserve">and advise the patient that they have the right to consult another relevant health professional. The form of the statement of reasons is to be provided for by </w:t>
      </w:r>
      <w:r w:rsidR="00ED3945">
        <w:t>the</w:t>
      </w:r>
      <w:r w:rsidR="006739ED">
        <w:t xml:space="preserve"> Scottish</w:t>
      </w:r>
      <w:r w:rsidR="00ED3945">
        <w:t xml:space="preserve"> </w:t>
      </w:r>
      <w:r>
        <w:t>Ministers in a code of practice under section 6(6), and, under subsection (4), must include an explanation of th</w:t>
      </w:r>
      <w:r w:rsidR="00EF46C2">
        <w:t>is</w:t>
      </w:r>
      <w:r>
        <w:t xml:space="preserve"> right to consult a</w:t>
      </w:r>
      <w:r w:rsidR="00EF46C2">
        <w:t>nother</w:t>
      </w:r>
      <w:r>
        <w:t xml:space="preserve"> relevant health professional and the procedure </w:t>
      </w:r>
      <w:r w:rsidR="00EF46C2">
        <w:t>to be followed</w:t>
      </w:r>
      <w:r>
        <w:t>.</w:t>
      </w:r>
    </w:p>
    <w:p w14:paraId="4829EA1E" w14:textId="0E0D60D1" w:rsidR="001B3DF0" w:rsidRDefault="00953B7B" w:rsidP="001B3DF0">
      <w:pPr>
        <w:pStyle w:val="BillADPara"/>
      </w:pPr>
      <w:r>
        <w:t xml:space="preserve">Subsection (5) </w:t>
      </w:r>
      <w:r w:rsidR="00EF46C2">
        <w:t>provides that the procedure for this second option is to be the same as for the first</w:t>
      </w:r>
      <w:r w:rsidR="00F13AE6">
        <w:t>,</w:t>
      </w:r>
      <w:r w:rsidR="00EF46C2">
        <w:t xml:space="preserve"> save that </w:t>
      </w:r>
      <w:r>
        <w:t>the</w:t>
      </w:r>
      <w:r w:rsidR="00EF46C2">
        <w:t xml:space="preserve">re is no right to a third opinion or corresponding statement of reasons. </w:t>
      </w:r>
    </w:p>
    <w:p w14:paraId="32E191ED" w14:textId="3036FA37" w:rsidR="00953B7B" w:rsidRDefault="00953B7B" w:rsidP="001B3DF0">
      <w:pPr>
        <w:pStyle w:val="BillADHeading4"/>
      </w:pPr>
      <w:r>
        <w:t>Section 3 – Provision of treatment</w:t>
      </w:r>
    </w:p>
    <w:p w14:paraId="1EEA6AF9" w14:textId="3247DF55" w:rsidR="00F839C6" w:rsidRDefault="00953B7B" w:rsidP="00793CB9">
      <w:pPr>
        <w:pStyle w:val="BillADPara"/>
      </w:pPr>
      <w:r>
        <w:t xml:space="preserve">Subsection (1) requires </w:t>
      </w:r>
      <w:r w:rsidR="00F15876">
        <w:t xml:space="preserve">the </w:t>
      </w:r>
      <w:r>
        <w:t>treatment to be made available to the patient as soon as reasonably practicable and</w:t>
      </w:r>
      <w:r w:rsidR="00F15876">
        <w:t xml:space="preserve"> provides a backstop of </w:t>
      </w:r>
      <w:r>
        <w:t xml:space="preserve">three weeks </w:t>
      </w:r>
      <w:r w:rsidR="00F15876">
        <w:t xml:space="preserve">from the date of </w:t>
      </w:r>
      <w:r>
        <w:t>the treatment determination</w:t>
      </w:r>
      <w:r w:rsidR="00F15876">
        <w:t>.</w:t>
      </w:r>
      <w:r>
        <w:t xml:space="preserve"> </w:t>
      </w:r>
    </w:p>
    <w:p w14:paraId="563E6D4A" w14:textId="7C01D0A5" w:rsidR="005D2EA5" w:rsidRDefault="00BF6C53" w:rsidP="00081509">
      <w:pPr>
        <w:pStyle w:val="BillADPara"/>
      </w:pPr>
      <w:r w:rsidRPr="00BF6C53">
        <w:t xml:space="preserve">Section 3(2) sets out that treatment may not be refused to a patient on any matter other than an assessment by a </w:t>
      </w:r>
      <w:r w:rsidR="00A170CC">
        <w:t xml:space="preserve">relevant </w:t>
      </w:r>
      <w:r w:rsidRPr="00BF6C53">
        <w:t xml:space="preserve">health professional of the best interests of the patient </w:t>
      </w:r>
      <w:r w:rsidR="00A170CC">
        <w:t>(for procedure see sections 2(3) and 2(4). N</w:t>
      </w:r>
      <w:r w:rsidRPr="00BF6C53">
        <w:t>evertheless,</w:t>
      </w:r>
      <w:r w:rsidR="00A170CC">
        <w:t xml:space="preserve"> subsection (2)</w:t>
      </w:r>
      <w:r w:rsidRPr="00BF6C53">
        <w:t xml:space="preserve"> sets out a </w:t>
      </w:r>
      <w:r w:rsidR="00A170CC">
        <w:t xml:space="preserve">non-exhaustive </w:t>
      </w:r>
      <w:r w:rsidRPr="00BF6C53">
        <w:t xml:space="preserve">list of reasons that may not be used to refuse treatment. The regulation making power in section 3(3) allows Scottish Ministers to add to those reasons in section 3(2) by regulations. </w:t>
      </w:r>
      <w:r w:rsidR="005D2EA5">
        <w:t xml:space="preserve"> </w:t>
      </w:r>
    </w:p>
    <w:p w14:paraId="6B9D0CBB" w14:textId="13A3F92C" w:rsidR="005D2EA5" w:rsidRPr="005D2EA5" w:rsidRDefault="005D2EA5" w:rsidP="005D2EA5">
      <w:pPr>
        <w:pStyle w:val="BillADPara"/>
      </w:pPr>
      <w:r>
        <w:t xml:space="preserve"> Section 8 provides that regulations under section </w:t>
      </w:r>
      <w:r w:rsidR="00501538">
        <w:t>3</w:t>
      </w:r>
      <w:r>
        <w:t xml:space="preserve">(3) are subject to the affirmative procedure. This means that </w:t>
      </w:r>
      <w:r w:rsidRPr="00F839C6">
        <w:rPr>
          <w:szCs w:val="24"/>
        </w:rPr>
        <w:t xml:space="preserve">regulations </w:t>
      </w:r>
      <w:r>
        <w:rPr>
          <w:szCs w:val="24"/>
        </w:rPr>
        <w:t xml:space="preserve">under subsection (3) </w:t>
      </w:r>
      <w:r w:rsidRPr="00F839C6">
        <w:rPr>
          <w:szCs w:val="24"/>
        </w:rPr>
        <w:t xml:space="preserve">must be laid in draft before the Parliament for approval by resolution. </w:t>
      </w:r>
    </w:p>
    <w:p w14:paraId="0FEA5F39" w14:textId="32802E44" w:rsidR="005D2EA5" w:rsidRDefault="005D2EA5" w:rsidP="005D2EA5">
      <w:pPr>
        <w:pStyle w:val="BillADHeading3"/>
      </w:pPr>
      <w:r>
        <w:t>Duties of Scottish Ministers</w:t>
      </w:r>
    </w:p>
    <w:p w14:paraId="1628BB3A" w14:textId="2EB0BF03" w:rsidR="005D2EA5" w:rsidRDefault="005D2EA5" w:rsidP="001B3DF0">
      <w:pPr>
        <w:pStyle w:val="BillADHeading4"/>
      </w:pPr>
      <w:r>
        <w:t>Section 4 – Duty to secure delivery</w:t>
      </w:r>
    </w:p>
    <w:p w14:paraId="25ACFBF2" w14:textId="1C2B1116" w:rsidR="005D2EA5" w:rsidRDefault="005D2EA5" w:rsidP="005D2EA5">
      <w:pPr>
        <w:pStyle w:val="BillADPara"/>
      </w:pPr>
      <w:r>
        <w:t xml:space="preserve"> Subsection (1) places a duty on the </w:t>
      </w:r>
      <w:r w:rsidR="00FF3152">
        <w:t xml:space="preserve">Scottish </w:t>
      </w:r>
      <w:r>
        <w:t xml:space="preserve">Ministers to </w:t>
      </w:r>
      <w:r w:rsidR="00FF3152">
        <w:t xml:space="preserve">ensure that the </w:t>
      </w:r>
      <w:r>
        <w:t>rights in the Bill</w:t>
      </w:r>
      <w:r w:rsidR="00FF3152">
        <w:t xml:space="preserve"> are realised</w:t>
      </w:r>
      <w:r>
        <w:t xml:space="preserve">. </w:t>
      </w:r>
      <w:r w:rsidR="00350155">
        <w:t xml:space="preserve"> To do this, s</w:t>
      </w:r>
      <w:r>
        <w:t xml:space="preserve">ubsection (2) requires Ministers to lay </w:t>
      </w:r>
      <w:r w:rsidR="00350155">
        <w:t xml:space="preserve">draft </w:t>
      </w:r>
      <w:r>
        <w:t xml:space="preserve">regulations before the Parliament within two months of this section coming into force. These regulations are to set out the detailed arrangements to be put in place to ensure compliance with the duty to deliver the right. Subsection (3) provides that these arrangements may include conferring functions on health </w:t>
      </w:r>
      <w:r>
        <w:lastRenderedPageBreak/>
        <w:t>boards, special health boards</w:t>
      </w:r>
      <w:r w:rsidR="00793CB9">
        <w:t>,</w:t>
      </w:r>
      <w:r>
        <w:rPr>
          <w:rStyle w:val="FootnoteReference"/>
        </w:rPr>
        <w:footnoteReference w:id="3"/>
      </w:r>
      <w:r>
        <w:t xml:space="preserve"> the Common Services Agency</w:t>
      </w:r>
      <w:r w:rsidR="00793CB9">
        <w:t>,</w:t>
      </w:r>
      <w:r>
        <w:rPr>
          <w:rStyle w:val="FootnoteReference"/>
        </w:rPr>
        <w:footnoteReference w:id="4"/>
      </w:r>
      <w:r>
        <w:t xml:space="preserve"> local authorities</w:t>
      </w:r>
      <w:r>
        <w:rPr>
          <w:rStyle w:val="FootnoteReference"/>
        </w:rPr>
        <w:footnoteReference w:id="5"/>
      </w:r>
      <w:r>
        <w:t xml:space="preserve"> and integration joint boards</w:t>
      </w:r>
      <w:r w:rsidR="00793CB9">
        <w:t>.</w:t>
      </w:r>
      <w:r>
        <w:rPr>
          <w:rStyle w:val="FootnoteReference"/>
        </w:rPr>
        <w:footnoteReference w:id="6"/>
      </w:r>
      <w:r>
        <w:t xml:space="preserve">  </w:t>
      </w:r>
    </w:p>
    <w:p w14:paraId="7C4BCBDB" w14:textId="45F27AF0" w:rsidR="005D2EA5" w:rsidRDefault="005D2EA5" w:rsidP="005D2EA5">
      <w:pPr>
        <w:pStyle w:val="BillADPara"/>
      </w:pPr>
      <w:r>
        <w:t xml:space="preserve">Section </w:t>
      </w:r>
      <w:r w:rsidR="00B413A9">
        <w:t>8</w:t>
      </w:r>
      <w:r>
        <w:t xml:space="preserve"> </w:t>
      </w:r>
      <w:r w:rsidR="00FF7943">
        <w:t>(</w:t>
      </w:r>
      <w:r w:rsidR="00B413A9">
        <w:t>Regulations</w:t>
      </w:r>
      <w:r w:rsidR="00FF7943">
        <w:t xml:space="preserve">) </w:t>
      </w:r>
      <w:r>
        <w:t xml:space="preserve">provides that regulations </w:t>
      </w:r>
      <w:r w:rsidR="00FF7943">
        <w:t xml:space="preserve">made </w:t>
      </w:r>
      <w:r>
        <w:t xml:space="preserve">under subsection (2) are subject to the affirmative procedure. This means that regulations under subsection (2) must be laid in draft before the Parliament for approval by resolution. </w:t>
      </w:r>
    </w:p>
    <w:p w14:paraId="45503A77" w14:textId="2CA1E760" w:rsidR="005D2EA5" w:rsidRDefault="005D2EA5" w:rsidP="005D2EA5">
      <w:pPr>
        <w:pStyle w:val="BillADPara"/>
      </w:pPr>
      <w:r>
        <w:t>Under section 10(1)</w:t>
      </w:r>
      <w:r w:rsidR="00ED3945">
        <w:t>,</w:t>
      </w:r>
      <w:r>
        <w:t xml:space="preserve"> section 4 comes into force on the day after Royal Assent. Therefore, the Ministers must lay regulations under subsection (2) within two months of the day after Royal Assent. </w:t>
      </w:r>
    </w:p>
    <w:p w14:paraId="54A99973" w14:textId="432AD9E6" w:rsidR="005D2EA5" w:rsidRDefault="005D2EA5" w:rsidP="001B3DF0">
      <w:pPr>
        <w:pStyle w:val="BillADHeading4"/>
      </w:pPr>
      <w:r>
        <w:t>Section 5 – Duty to report to Parliament</w:t>
      </w:r>
    </w:p>
    <w:p w14:paraId="410D2524" w14:textId="329A3AA3" w:rsidR="005D2EA5" w:rsidRDefault="00B413A9" w:rsidP="005D2EA5">
      <w:pPr>
        <w:pStyle w:val="BillADPara"/>
      </w:pPr>
      <w:r>
        <w:t>Section 5</w:t>
      </w:r>
      <w:r w:rsidR="00181F7D">
        <w:t xml:space="preserve"> </w:t>
      </w:r>
      <w:r>
        <w:t>requires</w:t>
      </w:r>
      <w:r w:rsidR="005D2EA5">
        <w:t xml:space="preserve"> the </w:t>
      </w:r>
      <w:r>
        <w:t xml:space="preserve">Scottish </w:t>
      </w:r>
      <w:r w:rsidR="005D2EA5">
        <w:t xml:space="preserve">Ministers to </w:t>
      </w:r>
      <w:r>
        <w:t>report annually on the progress made towards providing the treatment</w:t>
      </w:r>
      <w:r w:rsidR="000F31DE">
        <w:t>s</w:t>
      </w:r>
      <w:r>
        <w:t xml:space="preserve"> for addiction recovery and to </w:t>
      </w:r>
      <w:r w:rsidR="005D2EA5">
        <w:t xml:space="preserve">publish </w:t>
      </w:r>
      <w:r>
        <w:t>this</w:t>
      </w:r>
      <w:r w:rsidR="005D2EA5">
        <w:t xml:space="preserve"> report and lay it before the Scottish Parliament. Subsection (5) defines a reporting period as being the period of 12 months starting from the day </w:t>
      </w:r>
      <w:r w:rsidR="00FD7E50">
        <w:t xml:space="preserve">that </w:t>
      </w:r>
      <w:r w:rsidR="005D2EA5">
        <w:t>the regulations required by section 4(2) come into force</w:t>
      </w:r>
      <w:r w:rsidR="005D2EA5">
        <w:rPr>
          <w:rStyle w:val="FootnoteReference"/>
        </w:rPr>
        <w:footnoteReference w:id="7"/>
      </w:r>
      <w:r w:rsidR="005D2EA5">
        <w:t xml:space="preserve"> and each successive one-year period. </w:t>
      </w:r>
    </w:p>
    <w:p w14:paraId="2DE1B0E7" w14:textId="131AF088" w:rsidR="005D2EA5" w:rsidRDefault="005D2EA5" w:rsidP="00923B94">
      <w:pPr>
        <w:pStyle w:val="BillADPara"/>
      </w:pPr>
      <w:r>
        <w:t xml:space="preserve">Subsection (2) sets out </w:t>
      </w:r>
      <w:r w:rsidR="000F31DE">
        <w:t xml:space="preserve">the </w:t>
      </w:r>
      <w:r>
        <w:t xml:space="preserve">information </w:t>
      </w:r>
      <w:r w:rsidR="00FD7E50">
        <w:t>that</w:t>
      </w:r>
      <w:r>
        <w:t xml:space="preserve"> must be included in </w:t>
      </w:r>
      <w:r w:rsidR="000F31DE">
        <w:t>the</w:t>
      </w:r>
      <w:r>
        <w:t xml:space="preserve"> report. </w:t>
      </w:r>
    </w:p>
    <w:p w14:paraId="6E0CC5E5" w14:textId="61C8426C" w:rsidR="00A451C3" w:rsidRPr="00A451C3" w:rsidRDefault="005D2EA5" w:rsidP="00A451C3">
      <w:pPr>
        <w:pStyle w:val="BillADPara"/>
        <w:rPr>
          <w:bCs/>
          <w:iCs/>
        </w:rPr>
      </w:pPr>
      <w:r>
        <w:t xml:space="preserve">Subsection (3) provides </w:t>
      </w:r>
      <w:r w:rsidR="000F31DE">
        <w:t>for consultation to be part of the process of reporting, in particular that the Scottish</w:t>
      </w:r>
      <w:r>
        <w:t xml:space="preserve"> Ministers must consult patient</w:t>
      </w:r>
      <w:r w:rsidR="000F31DE">
        <w:t xml:space="preserve"> representatives</w:t>
      </w:r>
      <w:r>
        <w:t xml:space="preserve">, people with lived experience of drug </w:t>
      </w:r>
      <w:r w:rsidR="00793CB9">
        <w:t>and/</w:t>
      </w:r>
      <w:r>
        <w:t xml:space="preserve">or alcohol addiction and the bodies </w:t>
      </w:r>
      <w:r w:rsidR="000F31DE">
        <w:t xml:space="preserve">on whom Scottish Ministers may have </w:t>
      </w:r>
      <w:r w:rsidR="00962B35">
        <w:t xml:space="preserve">conferred functions in the regulations made under </w:t>
      </w:r>
      <w:r>
        <w:t>section 4</w:t>
      </w:r>
      <w:r w:rsidR="00793CB9">
        <w:t>.</w:t>
      </w:r>
      <w:r>
        <w:rPr>
          <w:rStyle w:val="FootnoteReference"/>
        </w:rPr>
        <w:footnoteReference w:id="8"/>
      </w:r>
      <w:r w:rsidR="00793CB9">
        <w:t xml:space="preserve"> </w:t>
      </w:r>
      <w:r>
        <w:t>In practice</w:t>
      </w:r>
      <w:r w:rsidR="00793CB9">
        <w:t>,</w:t>
      </w:r>
      <w:r>
        <w:t xml:space="preserve"> “representatives of patients” may mean patient</w:t>
      </w:r>
      <w:r w:rsidR="00421705">
        <w:t>s themselves, f</w:t>
      </w:r>
      <w:r>
        <w:t>amily member</w:t>
      </w:r>
      <w:r w:rsidR="00421705">
        <w:t>s</w:t>
      </w:r>
      <w:r>
        <w:t xml:space="preserve"> of patient</w:t>
      </w:r>
      <w:r w:rsidR="00421705">
        <w:t>s</w:t>
      </w:r>
      <w:r>
        <w:t xml:space="preserve"> or groups representing patients. </w:t>
      </w:r>
      <w:r w:rsidR="00962B35">
        <w:t xml:space="preserve">People with lived experience of drug or alcohol addiction could include, for example, not only those who have been addicted themselves but also </w:t>
      </w:r>
      <w:r>
        <w:t xml:space="preserve">people who have a family member </w:t>
      </w:r>
      <w:r w:rsidR="00962B35">
        <w:t xml:space="preserve">who is </w:t>
      </w:r>
      <w:r w:rsidR="00181F7D">
        <w:t xml:space="preserve">or has been </w:t>
      </w:r>
      <w:r w:rsidR="00962B35">
        <w:t>addicted</w:t>
      </w:r>
      <w:r w:rsidR="00793CB9">
        <w:t>,</w:t>
      </w:r>
      <w:r w:rsidR="00181F7D">
        <w:t xml:space="preserve"> as well as people who have a family member who has died as a result of addiction to alcohol and/or drugs</w:t>
      </w:r>
      <w:r>
        <w:t xml:space="preserve">. </w:t>
      </w:r>
    </w:p>
    <w:p w14:paraId="221D8793" w14:textId="5FEBA459" w:rsidR="00EB6EDE" w:rsidRPr="000207F1" w:rsidRDefault="00EB6EDE" w:rsidP="00A451C3">
      <w:pPr>
        <w:pStyle w:val="BillADHeading4"/>
      </w:pPr>
      <w:r w:rsidRPr="00181F7D">
        <w:t>Section 6</w:t>
      </w:r>
      <w:r w:rsidR="00FE75EB" w:rsidRPr="00181F7D">
        <w:t>: Code of practice</w:t>
      </w:r>
    </w:p>
    <w:p w14:paraId="5D572CD7" w14:textId="74EAD4D2" w:rsidR="00421705" w:rsidRDefault="00962B35" w:rsidP="00EB6EDE">
      <w:pPr>
        <w:pStyle w:val="BillADPara"/>
      </w:pPr>
      <w:r>
        <w:t>Section 6 requires the Scottish Ministers to prepare a code of practice alongside the regulations</w:t>
      </w:r>
      <w:r w:rsidR="00FC2B91">
        <w:t xml:space="preserve">, setting out further how the duty to fulfil the right to treatment will be carried out.  </w:t>
      </w:r>
      <w:r>
        <w:t xml:space="preserve"> </w:t>
      </w:r>
      <w:r w:rsidR="00864263">
        <w:lastRenderedPageBreak/>
        <w:t>Subsection</w:t>
      </w:r>
      <w:r w:rsidR="00FC2B91">
        <w:t>s</w:t>
      </w:r>
      <w:r w:rsidR="00864263">
        <w:t xml:space="preserve"> (1)</w:t>
      </w:r>
      <w:r w:rsidR="00FC2B91">
        <w:t xml:space="preserve"> and (2)</w:t>
      </w:r>
      <w:r w:rsidR="00864263">
        <w:t xml:space="preserve"> </w:t>
      </w:r>
      <w:r w:rsidR="00FC2B91">
        <w:t xml:space="preserve">provide that this </w:t>
      </w:r>
      <w:r w:rsidR="00EB6EDE">
        <w:t xml:space="preserve">code of practice </w:t>
      </w:r>
      <w:r w:rsidR="00FC2B91">
        <w:t xml:space="preserve">must be prepared in draft and laid before Parliament at the same time as the draft regulations under </w:t>
      </w:r>
      <w:r w:rsidR="00421705">
        <w:t>section 4</w:t>
      </w:r>
      <w:r w:rsidR="00FC2B91">
        <w:t>.</w:t>
      </w:r>
      <w:r w:rsidR="00421705">
        <w:rPr>
          <w:rStyle w:val="FootnoteReference"/>
        </w:rPr>
        <w:footnoteReference w:id="9"/>
      </w:r>
      <w:r w:rsidR="00EB6EDE">
        <w:t xml:space="preserve"> </w:t>
      </w:r>
    </w:p>
    <w:p w14:paraId="3DB46C20" w14:textId="6E83F01D" w:rsidR="00421705" w:rsidRDefault="00FC2B91" w:rsidP="00EB6EDE">
      <w:pPr>
        <w:pStyle w:val="BillADPara"/>
      </w:pPr>
      <w:r>
        <w:t>S</w:t>
      </w:r>
      <w:r w:rsidR="00421705">
        <w:t>ubsection (3)</w:t>
      </w:r>
      <w:r>
        <w:t xml:space="preserve"> provides that Scottish Ministers must publish </w:t>
      </w:r>
      <w:r w:rsidR="00421705">
        <w:t>the code of practice at the same time as the Ministers make regulations under section 4</w:t>
      </w:r>
      <w:r w:rsidR="00FF7943">
        <w:t xml:space="preserve"> </w:t>
      </w:r>
      <w:r>
        <w:t>(i.e. once they have been approved by the Parliament then the Minister can “make”, i.e. sign them.)</w:t>
      </w:r>
      <w:r w:rsidR="00793CB9">
        <w:t xml:space="preserve"> S</w:t>
      </w:r>
      <w:r w:rsidR="00421705">
        <w:t>ubsection (4) provides that</w:t>
      </w:r>
      <w:r w:rsidR="00181F7D">
        <w:t xml:space="preserve"> the</w:t>
      </w:r>
      <w:r w:rsidR="00421705">
        <w:t xml:space="preserve"> </w:t>
      </w:r>
      <w:r w:rsidR="008F0FB7">
        <w:t>Scottish Ministers</w:t>
      </w:r>
      <w:r w:rsidR="00421705">
        <w:t xml:space="preserve"> must then lay the code of practice before the Parliament as soon as practicable after it is published.</w:t>
      </w:r>
    </w:p>
    <w:p w14:paraId="22A28B11" w14:textId="502E79E2" w:rsidR="00864263" w:rsidRDefault="00864263" w:rsidP="00EB6EDE">
      <w:pPr>
        <w:pStyle w:val="BillADPara"/>
      </w:pPr>
      <w:r>
        <w:t>Subsection (7)</w:t>
      </w:r>
      <w:r w:rsidR="00421705">
        <w:t xml:space="preserve"> allows the </w:t>
      </w:r>
      <w:r w:rsidR="008F0FB7">
        <w:t xml:space="preserve">Scottish </w:t>
      </w:r>
      <w:r w:rsidR="00421705">
        <w:t>Ministers to revise the code</w:t>
      </w:r>
      <w:r w:rsidR="008F0FB7">
        <w:t>, following the same procedure</w:t>
      </w:r>
      <w:r>
        <w:t xml:space="preserve">. </w:t>
      </w:r>
    </w:p>
    <w:p w14:paraId="7943D7DE" w14:textId="784E29F6" w:rsidR="00267407" w:rsidRDefault="00267407" w:rsidP="00421705">
      <w:pPr>
        <w:pStyle w:val="BillADHeading3"/>
      </w:pPr>
      <w:r>
        <w:t>Final provisions</w:t>
      </w:r>
    </w:p>
    <w:p w14:paraId="4E4ADB43" w14:textId="3A736DB0" w:rsidR="00864263" w:rsidRDefault="00864263" w:rsidP="001B3DF0">
      <w:pPr>
        <w:pStyle w:val="BillADHeading4"/>
      </w:pPr>
      <w:r>
        <w:t>Section 7: Ancillary provision</w:t>
      </w:r>
    </w:p>
    <w:p w14:paraId="5287A0F6" w14:textId="37BB93B1" w:rsidR="00267407" w:rsidRDefault="00181F7D" w:rsidP="00421705">
      <w:pPr>
        <w:pStyle w:val="BillADPara"/>
      </w:pPr>
      <w:r>
        <w:t>This section allows the Scottish Ministers, by regulations, to make ‘</w:t>
      </w:r>
      <w:r w:rsidR="00EB6277">
        <w:t>standalone</w:t>
      </w:r>
      <w:r>
        <w:t>’ ancillary provision in relation to the Act or any provision made under it. However</w:t>
      </w:r>
      <w:r w:rsidR="00EB6277">
        <w:t>,</w:t>
      </w:r>
      <w:r>
        <w:t xml:space="preserve"> this ancillary provision does not exten</w:t>
      </w:r>
      <w:r w:rsidR="00EB6277">
        <w:t>d</w:t>
      </w:r>
      <w:r>
        <w:t xml:space="preserve"> to being able to modify Acts. This type of power is used to ensure that the Bill has its full intended effect.</w:t>
      </w:r>
    </w:p>
    <w:p w14:paraId="79E2E515" w14:textId="07385015" w:rsidR="00864263" w:rsidRDefault="00864263" w:rsidP="001B3DF0">
      <w:pPr>
        <w:pStyle w:val="BillADHeading4"/>
      </w:pPr>
      <w:r>
        <w:t>Section 8: Regulations</w:t>
      </w:r>
    </w:p>
    <w:p w14:paraId="6F2636BF" w14:textId="59A338AB" w:rsidR="00181F7D" w:rsidRDefault="00864263" w:rsidP="00181F7D">
      <w:pPr>
        <w:pStyle w:val="BillADPara"/>
      </w:pPr>
      <w:r>
        <w:t xml:space="preserve"> </w:t>
      </w:r>
      <w:r w:rsidR="00181F7D">
        <w:t>This section provides that the various regulation making powers under the Act may make different provision for different purposes and includes the power to make a range of ancillary provision (that is</w:t>
      </w:r>
      <w:r w:rsidR="00EB6277">
        <w:t>:</w:t>
      </w:r>
      <w:r w:rsidR="00181F7D">
        <w:t xml:space="preserve"> incidental, supplementary, consequential, transitory, transitional or saving provision). The ability to make different provision for different purposes enables a regulation making power to be used in different ways in different circumstances. This section does not apply to commencement regulations which have a more limited range of ancillary powers (relating to making transitional, transitory or saving provision).</w:t>
      </w:r>
    </w:p>
    <w:p w14:paraId="53205AA5" w14:textId="4811D507" w:rsidR="00864263" w:rsidRDefault="00864263" w:rsidP="001B3DF0">
      <w:pPr>
        <w:pStyle w:val="BillADHeading4"/>
      </w:pPr>
      <w:r>
        <w:t>Section 9: Interpretation</w:t>
      </w:r>
    </w:p>
    <w:p w14:paraId="7FCCF5D4" w14:textId="1CE2A1C5" w:rsidR="00864263" w:rsidRDefault="00181F7D" w:rsidP="00421705">
      <w:pPr>
        <w:pStyle w:val="BillADPara"/>
        <w:numPr>
          <w:ilvl w:val="0"/>
          <w:numId w:val="1"/>
        </w:numPr>
      </w:pPr>
      <w:r>
        <w:t>This section contains definitions of terms used in the Bill.</w:t>
      </w:r>
      <w:r w:rsidR="00267407">
        <w:t xml:space="preserve"> Such terms have been explained in these Notes in relevant places.</w:t>
      </w:r>
    </w:p>
    <w:p w14:paraId="4A032AF2" w14:textId="197303C5" w:rsidR="00864263" w:rsidRDefault="00864263" w:rsidP="001B3DF0">
      <w:pPr>
        <w:pStyle w:val="BillADHeading4"/>
      </w:pPr>
      <w:r>
        <w:t>Section 10: Commencement</w:t>
      </w:r>
    </w:p>
    <w:p w14:paraId="18408EEE" w14:textId="2B0B5347" w:rsidR="00421705" w:rsidRDefault="00181F7D" w:rsidP="00EB6EDE">
      <w:pPr>
        <w:pStyle w:val="BillADPara"/>
      </w:pPr>
      <w:r>
        <w:t>Section 10 sets out when the provisions of the Bill will come into effect as a matter of law.  It provides that the sections on duty to secure delivery, regulations, code of practice, ancillary provision, interpretation, commencement and short title will automatically come into force on the day after the Bill receives Royal Assent.</w:t>
      </w:r>
      <w:r w:rsidRPr="000D5988">
        <w:t xml:space="preserve"> </w:t>
      </w:r>
      <w:r>
        <w:t>All other sections of the Bill will take effect in accordance with regulations made by the Scottish Ministers. Those regulations will require to be laid before the Scottish Parliament but, by virtue of section 8(4), they will not otherwise be subject to any parliamentary procedure</w:t>
      </w:r>
      <w:r w:rsidR="00421705">
        <w:t xml:space="preserve">. </w:t>
      </w:r>
    </w:p>
    <w:p w14:paraId="6C869ABD" w14:textId="2133D4AC" w:rsidR="002820E6" w:rsidRDefault="002820E6" w:rsidP="002820E6">
      <w:pPr>
        <w:pStyle w:val="BillADHeading4"/>
      </w:pPr>
      <w:r>
        <w:lastRenderedPageBreak/>
        <w:t>Section 11: Short title</w:t>
      </w:r>
    </w:p>
    <w:p w14:paraId="600B42B7" w14:textId="5915AC78" w:rsidR="002820E6" w:rsidRDefault="002820E6" w:rsidP="00EB6EDE">
      <w:pPr>
        <w:pStyle w:val="BillADPara"/>
      </w:pPr>
      <w:r>
        <w:t>Section 11 is the short title of the Bill so needs no further explanation.</w:t>
      </w:r>
    </w:p>
    <w:p w14:paraId="109F31FF" w14:textId="77777777" w:rsidR="00421705" w:rsidRDefault="00421705" w:rsidP="00C2196D">
      <w:pPr>
        <w:pStyle w:val="BillADPara"/>
        <w:numPr>
          <w:ilvl w:val="0"/>
          <w:numId w:val="0"/>
        </w:numPr>
      </w:pPr>
    </w:p>
    <w:p w14:paraId="678430D3" w14:textId="77777777" w:rsidR="00D8523F" w:rsidRDefault="00D8523F" w:rsidP="00A321AB"/>
    <w:p w14:paraId="5551FA66" w14:textId="77777777" w:rsidR="00D8523F" w:rsidRDefault="00D8523F" w:rsidP="00A321AB"/>
    <w:p w14:paraId="44FFFC89" w14:textId="77777777" w:rsidR="00A321AB" w:rsidRDefault="00A321AB" w:rsidP="00A321AB">
      <w:pPr>
        <w:sectPr w:rsidR="00A321AB" w:rsidSect="00A321AB">
          <w:headerReference w:type="default" r:id="rId14"/>
          <w:footerReference w:type="default" r:id="rId15"/>
          <w:headerReference w:type="first" r:id="rId16"/>
          <w:footerReference w:type="first" r:id="rId17"/>
          <w:type w:val="oddPage"/>
          <w:pgSz w:w="11907" w:h="16840" w:code="9"/>
          <w:pgMar w:top="1418" w:right="1134" w:bottom="1418" w:left="1134" w:header="720" w:footer="720" w:gutter="284"/>
          <w:pgNumType w:start="1"/>
          <w:cols w:space="720"/>
          <w:titlePg/>
          <w:docGrid w:linePitch="326"/>
        </w:sectPr>
      </w:pPr>
    </w:p>
    <w:p w14:paraId="2B87F9AC" w14:textId="77777777" w:rsidR="00A321AB" w:rsidRDefault="00A321AB" w:rsidP="00A321AB"/>
    <w:p w14:paraId="1A821686" w14:textId="77777777" w:rsidR="00A321AB" w:rsidRDefault="00A321AB" w:rsidP="00A321AB"/>
    <w:p w14:paraId="0BA6E0C2" w14:textId="77777777" w:rsidR="00A321AB" w:rsidRDefault="00A321AB" w:rsidP="00A321AB"/>
    <w:p w14:paraId="1C09304C" w14:textId="77777777" w:rsidR="00A321AB" w:rsidRDefault="00A321AB" w:rsidP="00A321AB"/>
    <w:p w14:paraId="278E8178" w14:textId="77777777" w:rsidR="00A321AB" w:rsidRDefault="00A321AB" w:rsidP="00A321AB"/>
    <w:p w14:paraId="2109925E" w14:textId="187D81EF" w:rsidR="00A321AB" w:rsidRDefault="00717D70" w:rsidP="00A321AB">
      <w:pPr>
        <w:jc w:val="center"/>
        <w:rPr>
          <w:b/>
          <w:sz w:val="36"/>
        </w:rPr>
      </w:pPr>
      <w:r>
        <w:rPr>
          <w:b/>
          <w:caps/>
          <w:sz w:val="36"/>
        </w:rPr>
        <w:t>RIGHT TO ADDICTION RECOVERY (SCOTLAND)</w:t>
      </w:r>
      <w:r w:rsidR="00A321AB">
        <w:rPr>
          <w:b/>
          <w:sz w:val="36"/>
        </w:rPr>
        <w:t xml:space="preserve"> </w:t>
      </w:r>
      <w:smartTag w:uri="urn:schemas-microsoft-com:office:smarttags" w:element="stockticker">
        <w:r w:rsidR="00A321AB">
          <w:rPr>
            <w:b/>
            <w:sz w:val="36"/>
          </w:rPr>
          <w:t>BILL</w:t>
        </w:r>
      </w:smartTag>
    </w:p>
    <w:p w14:paraId="0740D55A" w14:textId="77777777" w:rsidR="00A321AB" w:rsidRDefault="00A321AB" w:rsidP="00A321AB"/>
    <w:p w14:paraId="5D458FD2" w14:textId="77777777" w:rsidR="00A321AB" w:rsidRDefault="00A321AB" w:rsidP="00A321AB"/>
    <w:p w14:paraId="50AB58FC" w14:textId="77777777" w:rsidR="00A321AB" w:rsidRDefault="00A321AB" w:rsidP="00A321AB"/>
    <w:p w14:paraId="58819263" w14:textId="77777777" w:rsidR="00A321AB" w:rsidRDefault="00F5085D" w:rsidP="00A356F5">
      <w:pPr>
        <w:pStyle w:val="BillADTitleAtEnd"/>
      </w:pPr>
      <w:r>
        <w:t xml:space="preserve">EXPLANATORY </w:t>
      </w:r>
      <w:r w:rsidRPr="00A356F5">
        <w:t>NOTES</w:t>
      </w:r>
    </w:p>
    <w:p w14:paraId="7DD9CDCE" w14:textId="77777777" w:rsidR="00A321AB" w:rsidRDefault="00A321AB" w:rsidP="00A321AB"/>
    <w:p w14:paraId="27B962FB" w14:textId="77777777" w:rsidR="00A321AB" w:rsidRDefault="00A321AB" w:rsidP="00A321AB"/>
    <w:p w14:paraId="0E16F680" w14:textId="77777777" w:rsidR="00A321AB" w:rsidRDefault="00A321AB" w:rsidP="00A321AB"/>
    <w:p w14:paraId="21FB52A3" w14:textId="77777777" w:rsidR="00A321AB" w:rsidRDefault="00A321AB" w:rsidP="00A321AB"/>
    <w:p w14:paraId="419DEB4A" w14:textId="77777777" w:rsidR="00A321AB" w:rsidRDefault="00A321AB" w:rsidP="00A321AB"/>
    <w:p w14:paraId="625858F0" w14:textId="77777777" w:rsidR="00A321AB" w:rsidRDefault="00A321AB" w:rsidP="00A321AB"/>
    <w:p w14:paraId="7258CDF8" w14:textId="77777777" w:rsidR="00A321AB" w:rsidRDefault="00A321AB" w:rsidP="00A321AB"/>
    <w:p w14:paraId="53E29AAE" w14:textId="77777777" w:rsidR="00A321AB" w:rsidRDefault="00A321AB" w:rsidP="00A321AB"/>
    <w:p w14:paraId="3754DB28" w14:textId="77777777" w:rsidR="00A321AB" w:rsidRDefault="00A321AB" w:rsidP="00A321AB"/>
    <w:p w14:paraId="4D684E1E" w14:textId="77777777" w:rsidR="00A321AB" w:rsidRDefault="00A321AB" w:rsidP="00A321AB"/>
    <w:p w14:paraId="3589C4C4" w14:textId="77777777" w:rsidR="00A321AB" w:rsidRDefault="00A321AB" w:rsidP="00A321AB"/>
    <w:p w14:paraId="014E7450" w14:textId="77777777" w:rsidR="00A321AB" w:rsidRDefault="00A321AB" w:rsidP="00A321AB"/>
    <w:p w14:paraId="39D0E420" w14:textId="77777777" w:rsidR="00A321AB" w:rsidRDefault="00A321AB" w:rsidP="00A321AB"/>
    <w:p w14:paraId="1DCC68E9" w14:textId="77777777" w:rsidR="00C15BE0" w:rsidRDefault="00C15BE0" w:rsidP="00C15BE0">
      <w:pPr>
        <w:autoSpaceDE w:val="0"/>
        <w:autoSpaceDN w:val="0"/>
        <w:adjustRightInd w:val="0"/>
        <w:jc w:val="center"/>
        <w:rPr>
          <w:rFonts w:ascii="Arial" w:hAnsi="Arial" w:cs="Arial"/>
          <w:color w:val="000000"/>
          <w:sz w:val="20"/>
        </w:rPr>
      </w:pPr>
      <w:r>
        <w:rPr>
          <w:rFonts w:ascii="Symbol" w:hAnsi="Symbol" w:cs="Symbol"/>
          <w:color w:val="000000"/>
          <w:sz w:val="20"/>
        </w:rPr>
        <w:t></w:t>
      </w:r>
      <w:r>
        <w:rPr>
          <w:rFonts w:ascii="Arial" w:hAnsi="Arial" w:cs="Arial"/>
          <w:color w:val="000000"/>
          <w:sz w:val="20"/>
        </w:rPr>
        <w:t xml:space="preserve"> Parliamentary copyright.  Scottish Parliamentary Corporate Body</w:t>
      </w:r>
    </w:p>
    <w:p w14:paraId="45E163F3" w14:textId="77777777" w:rsidR="00C15BE0" w:rsidRDefault="00C15BE0" w:rsidP="00C15BE0">
      <w:pPr>
        <w:autoSpaceDE w:val="0"/>
        <w:autoSpaceDN w:val="0"/>
        <w:adjustRightInd w:val="0"/>
        <w:jc w:val="center"/>
        <w:rPr>
          <w:rFonts w:ascii="Arial" w:hAnsi="Arial" w:cs="Arial"/>
          <w:color w:val="000000"/>
          <w:sz w:val="20"/>
        </w:rPr>
      </w:pPr>
    </w:p>
    <w:p w14:paraId="72C428AE" w14:textId="77777777" w:rsidR="00C15BE0" w:rsidRDefault="00C15BE0" w:rsidP="00C15BE0">
      <w:pPr>
        <w:autoSpaceDE w:val="0"/>
        <w:autoSpaceDN w:val="0"/>
        <w:adjustRightInd w:val="0"/>
        <w:jc w:val="center"/>
        <w:rPr>
          <w:rFonts w:ascii="Arial" w:hAnsi="Arial" w:cs="Arial"/>
          <w:color w:val="000000"/>
          <w:sz w:val="20"/>
        </w:rPr>
      </w:pPr>
      <w:r>
        <w:rPr>
          <w:rFonts w:ascii="Arial" w:hAnsi="Arial" w:cs="Arial"/>
          <w:color w:val="000000"/>
          <w:sz w:val="20"/>
        </w:rPr>
        <w:t>Information on the Scottish Parliament’s copyright policy can be found on the website -</w:t>
      </w:r>
    </w:p>
    <w:p w14:paraId="6A599F62" w14:textId="77777777" w:rsidR="00C15BE0" w:rsidRDefault="007B63EB" w:rsidP="00C15BE0">
      <w:pPr>
        <w:autoSpaceDE w:val="0"/>
        <w:autoSpaceDN w:val="0"/>
        <w:adjustRightInd w:val="0"/>
        <w:jc w:val="center"/>
        <w:rPr>
          <w:rFonts w:ascii="Arial" w:hAnsi="Arial" w:cs="Arial"/>
          <w:color w:val="000000"/>
          <w:sz w:val="20"/>
          <w:u w:val="single"/>
        </w:rPr>
      </w:pPr>
      <w:hyperlink r:id="rId18" w:history="1">
        <w:r w:rsidR="00186E81">
          <w:rPr>
            <w:rStyle w:val="Hyperlink"/>
            <w:rFonts w:ascii="Arial" w:hAnsi="Arial" w:cs="Arial"/>
            <w:sz w:val="20"/>
          </w:rPr>
          <w:t>www.parliament.scot</w:t>
        </w:r>
      </w:hyperlink>
    </w:p>
    <w:p w14:paraId="0B445C54" w14:textId="77777777" w:rsidR="00C15BE0" w:rsidRDefault="00C15BE0" w:rsidP="00C15BE0">
      <w:pPr>
        <w:autoSpaceDE w:val="0"/>
        <w:autoSpaceDN w:val="0"/>
        <w:adjustRightInd w:val="0"/>
        <w:jc w:val="center"/>
        <w:rPr>
          <w:rFonts w:ascii="Arial" w:hAnsi="Arial" w:cs="Arial"/>
          <w:color w:val="000000"/>
          <w:sz w:val="20"/>
        </w:rPr>
      </w:pPr>
    </w:p>
    <w:p w14:paraId="5896C14E" w14:textId="77777777" w:rsidR="00C15BE0" w:rsidRDefault="00C15BE0" w:rsidP="00C15BE0">
      <w:pPr>
        <w:jc w:val="center"/>
        <w:rPr>
          <w:rFonts w:ascii="Arial" w:hAnsi="Arial" w:cs="Arial"/>
          <w:color w:val="000000"/>
          <w:sz w:val="20"/>
        </w:rPr>
      </w:pPr>
      <w:r>
        <w:rPr>
          <w:rFonts w:ascii="Arial" w:hAnsi="Arial" w:cs="Arial"/>
          <w:color w:val="000000"/>
          <w:sz w:val="20"/>
        </w:rPr>
        <w:t>Produced and published in Scotland by the Scottish Parliamentary Corporate Body.</w:t>
      </w:r>
    </w:p>
    <w:p w14:paraId="2A82AF6B" w14:textId="77777777" w:rsidR="00C15BE0" w:rsidRDefault="00C15BE0" w:rsidP="00C15BE0">
      <w:pPr>
        <w:jc w:val="center"/>
        <w:rPr>
          <w:rFonts w:ascii="Arial" w:hAnsi="Arial" w:cs="Arial"/>
          <w:color w:val="000000"/>
          <w:sz w:val="20"/>
        </w:rPr>
      </w:pPr>
    </w:p>
    <w:p w14:paraId="72906CCA" w14:textId="77777777" w:rsidR="00C15BE0" w:rsidRDefault="00C15BE0" w:rsidP="00C15BE0">
      <w:pPr>
        <w:jc w:val="center"/>
        <w:rPr>
          <w:rFonts w:ascii="Arial" w:hAnsi="Arial" w:cs="Arial"/>
          <w:sz w:val="16"/>
          <w:szCs w:val="16"/>
        </w:rPr>
      </w:pPr>
      <w:r>
        <w:rPr>
          <w:rFonts w:ascii="Arial" w:hAnsi="Arial" w:cs="Arial"/>
          <w:color w:val="000000"/>
          <w:sz w:val="20"/>
        </w:rPr>
        <w:t>All documents are available on the Scottish Parliament website at:</w:t>
      </w:r>
      <w:r>
        <w:rPr>
          <w:rFonts w:ascii="Arial" w:hAnsi="Arial" w:cs="Arial"/>
          <w:sz w:val="16"/>
          <w:szCs w:val="16"/>
        </w:rPr>
        <w:t xml:space="preserve"> </w:t>
      </w:r>
    </w:p>
    <w:p w14:paraId="29AA882E" w14:textId="77777777" w:rsidR="00C15BE0" w:rsidRDefault="007B63EB" w:rsidP="00C15BE0">
      <w:pPr>
        <w:jc w:val="center"/>
        <w:rPr>
          <w:rFonts w:ascii="Arial" w:hAnsi="Arial"/>
          <w:color w:val="000000"/>
          <w:sz w:val="20"/>
        </w:rPr>
      </w:pPr>
      <w:hyperlink r:id="rId19" w:history="1">
        <w:r w:rsidR="00186E81">
          <w:rPr>
            <w:rStyle w:val="Hyperlink"/>
            <w:rFonts w:ascii="Arial" w:hAnsi="Arial" w:cs="Arial"/>
            <w:sz w:val="20"/>
          </w:rPr>
          <w:t>www.parliament.scot/documents</w:t>
        </w:r>
      </w:hyperlink>
    </w:p>
    <w:p w14:paraId="0E371DDD" w14:textId="77777777" w:rsidR="00C15BE0" w:rsidRDefault="00C15BE0" w:rsidP="00C15BE0">
      <w:pPr>
        <w:jc w:val="center"/>
      </w:pPr>
    </w:p>
    <w:p w14:paraId="73814FE5" w14:textId="77777777" w:rsidR="00A321AB" w:rsidRPr="00612A6D" w:rsidRDefault="00A321AB" w:rsidP="00C15BE0">
      <w:pPr>
        <w:tabs>
          <w:tab w:val="clear" w:pos="709"/>
          <w:tab w:val="clear" w:pos="1418"/>
          <w:tab w:val="clear" w:pos="2126"/>
          <w:tab w:val="clear" w:pos="2835"/>
          <w:tab w:val="clear" w:pos="3544"/>
          <w:tab w:val="clear" w:pos="4253"/>
          <w:tab w:val="clear" w:pos="4961"/>
          <w:tab w:val="clear" w:pos="5670"/>
        </w:tabs>
        <w:jc w:val="center"/>
      </w:pPr>
    </w:p>
    <w:sectPr w:rsidR="00A321AB" w:rsidRPr="00612A6D" w:rsidSect="00A321AB">
      <w:footerReference w:type="default" r:id="rId20"/>
      <w:type w:val="evenPage"/>
      <w:pgSz w:w="11907" w:h="16840" w:code="9"/>
      <w:pgMar w:top="1418" w:right="1134" w:bottom="1418" w:left="1134" w:header="720" w:footer="720" w:gutter="284"/>
      <w:pgNumType w:start="1"/>
      <w:cols w:space="720"/>
    </w:sectPr>
  </w:body>
</w:document>
</file>

<file path=word/customizations.xml><?xml version="1.0" encoding="utf-8"?>
<wne:tcg xmlns:r="http://schemas.openxmlformats.org/officeDocument/2006/relationships" xmlns:wne="http://schemas.microsoft.com/office/word/2006/wordml">
  <wne:keymaps>
    <wne:keymap wne:kcmPrimary="0231">
      <wne:acd wne:acdName="acd1"/>
    </wne:keymap>
    <wne:keymap wne:kcmPrimary="0232">
      <wne:acd wne:acdName="acd2"/>
    </wne:keymap>
    <wne:keymap wne:kcmPrimary="0233">
      <wne:acd wne:acdName="acd3"/>
    </wne:keymap>
    <wne:keymap wne:kcmPrimary="0234">
      <wne:acd wne:acdName="acd5"/>
    </wne:keymap>
    <wne:keymap wne:kcmPrimary="0235">
      <wne:acd wne:acdName="acd23"/>
    </wne:keymap>
    <wne:keymap wne:kcmPrimary="0236">
      <wne:acd wne:acdName="acd15"/>
    </wne:keymap>
    <wne:keymap wne:kcmPrimary="0237">
      <wne:acd wne:acdName="acd20"/>
    </wne:keymap>
    <wne:keymap wne:kcmPrimary="0238">
      <wne:acd wne:acdName="acd7"/>
    </wne:keymap>
    <wne:keymap wne:kcmPrimary="0239">
      <wne:acd wne:acdName="acd16"/>
    </wne:keymap>
    <wne:keymap wne:mask="1" wne:kcmPrimary="024D"/>
    <wne:keymap wne:kcmPrimary="0331">
      <wne:acd wne:acdName="acd21"/>
    </wne:keymap>
    <wne:keymap wne:kcmPrimary="0332">
      <wne:acd wne:acdName="acd24"/>
    </wne:keymap>
    <wne:keymap wne:kcmPrimary="03DC">
      <wne:macro wne:macroName="TEMPLATEPROJECT.EXNOTES.SIDELINESELECTEDTEXT"/>
    </wne:keymap>
    <wne:keymap wne:kcmPrimary="0625">
      <wne:macro wne:macroName="TEMPLATEPROJECT.EXNOTES.OUTDENT"/>
    </wne:keymap>
    <wne:keymap wne:kcmPrimary="0627">
      <wne:fci wne:fciName="Indent" wne:swArg="0000"/>
    </wne:keymap>
    <wne:keymap wne:kcmPrimary="0634">
      <wne:acd wne:acdName="acd6"/>
    </wne:keymap>
    <wne:keymap wne:kcmPrimary="0635">
      <wne:acd wne:acdName="acd4"/>
    </wne:keymap>
    <wne:keymap wne:kcmPrimary="0636">
      <wne:acd wne:acdName="acd0"/>
    </wne:keymap>
    <wne:keymap wne:kcmPrimary="0637">
      <wne:acd wne:acdName="acd10"/>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Manifest>
    <wne:toolbarData r:id="rId1"/>
  </wne:toolbars>
  <wne:acds>
    <wne:acd wne:argValue="AgBCAGkAbABsAEEARABRAHUAbwB0AGUAZABUAGUAeAB0AA==" wne:acdName="acd0" wne:fciIndexBasedOn="0065"/>
    <wne:acd wne:argValue="AgBCAGkAbABsAEEARABIAGUAYQBkAGkAbgBnADEA" wne:acdName="acd1" wne:fciIndexBasedOn="0065"/>
    <wne:acd wne:argValue="AgBCAGkAbABsAEEARABIAGUAYQBkAGkAbgBnADIA" wne:acdName="acd2" wne:fciIndexBasedOn="0065"/>
    <wne:acd wne:argValue="AgBCAGkAbABsAEEARABIAGUAYQBkAGkAbgBnADMA" wne:acdName="acd3" wne:fciIndexBasedOn="0065"/>
    <wne:acd wne:argValue="AgBCAGkAbABsAEEARABJAG4AcwBlAHIAdABlAGQAVABlAHgAdAA=" wne:acdName="acd4" wne:fciIndexBasedOn="0065"/>
    <wne:acd wne:argValue="AgBCAGkAbABsAEEARABIAGUAYQBkAGkAbgBnADQA" wne:acdName="acd5" wne:fciIndexBasedOn="0065"/>
    <wne:acd wne:argValue="AgBCAGkAbABsAEEARABTAHUAYgBQAGEAcgBhAA==" wne:acdName="acd6" wne:fciIndexBasedOn="0065"/>
    <wne:acd wne:argValue="AgBCAGkAbABsAEEARABCAHUAbABsAGUAdAA=" wne:acdName="acd7" wne:fciIndexBasedOn="0065"/>
    <wne:acd wne:acdName="acd8" wne:fciIndexBasedOn="0065"/>
    <wne:acd wne:acdName="acd9" wne:fciIndexBasedOn="0065"/>
    <wne:acd wne:argValue="AgBCAGkAbABsAEEARABQAGEAcgBhAE4AbwBOAHUAbQBiAGUAcgA=" wne:acdName="acd10" wne:fciIndexBasedOn="0065"/>
    <wne:acd wne:acdName="acd11" wne:fciIndexBasedOn="0065"/>
    <wne:acd wne:acdName="acd12" wne:fciIndexBasedOn="0065"/>
    <wne:acd wne:acdName="acd13" wne:fciIndexBasedOn="0065"/>
    <wne:acd wne:acdName="acd14" wne:fciIndexBasedOn="0065"/>
    <wne:acd wne:argValue="AgBCAGkAbABsAEEARABQAGEAcgBhAA==" wne:acdName="acd15" wne:fciIndexBasedOn="0065"/>
    <wne:acd wne:argValue="AgBCAGkAbABsAEEARABCAHUAbABsAGUAdABBAGYAdABlAHIAMQA4AHAAdAA=" wne:acdName="acd16" wne:fciIndexBasedOn="0065"/>
    <wne:acd wne:acdName="acd17" wne:fciIndexBasedOn="0065"/>
    <wne:acd wne:acdName="acd18" wne:fciIndexBasedOn="0065"/>
    <wne:acd wne:acdName="acd19" wne:fciIndexBasedOn="0065"/>
    <wne:acd wne:argValue="AgBCAGkAbABsAEEARABQAGEAcgBhAEEAZgB0AGUAcgA2ACAAcAB0AA==" wne:acdName="acd20" wne:fciIndexBasedOn="0065"/>
    <wne:acd wne:argValue="AgBCAGkAbABsAEEARABBAGQAZABpAHQAaQBvAG4AYQBsAEgAZQBhAGQAaQBuAGcAMQA=" wne:acdName="acd21" wne:fciIndexBasedOn="0065"/>
    <wne:acd wne:acdName="acd22" wne:fciIndexBasedOn="0065"/>
    <wne:acd wne:argValue="AgBCAGkAbABsAEEARABIAGUAYQBkAGkAbgBnADUA" wne:acdName="acd23" wne:fciIndexBasedOn="0065"/>
    <wne:acd wne:argValue="AgBCAGkAbABsAEEARABBAGQAZABpAHQAaQBvAG4AYQBsAEgAZQBhAGQAaQBuAGcAMgA=" wne:acdName="acd24"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7EE515" w14:textId="77777777" w:rsidR="00B85562" w:rsidRDefault="00B85562">
      <w:r>
        <w:separator/>
      </w:r>
    </w:p>
  </w:endnote>
  <w:endnote w:type="continuationSeparator" w:id="0">
    <w:p w14:paraId="37419458" w14:textId="77777777" w:rsidR="00B85562" w:rsidRDefault="00B85562">
      <w:r>
        <w:continuationSeparator/>
      </w:r>
    </w:p>
  </w:endnote>
  <w:endnote w:type="continuationNotice" w:id="1">
    <w:p w14:paraId="074B6BCF" w14:textId="77777777" w:rsidR="00B85562" w:rsidRDefault="00B8556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74BF2" w14:textId="77777777" w:rsidR="00F7649A" w:rsidRDefault="00A321AB" w:rsidP="00A321AB">
    <w:pPr>
      <w:pStyle w:val="Footer"/>
      <w:jc w:val="center"/>
    </w:pPr>
    <w:r>
      <w:fldChar w:fldCharType="begin"/>
    </w:r>
    <w:r>
      <w:instrText xml:space="preserve"> PAGE   \* MERGEFORMAT </w:instrText>
    </w:r>
    <w:r>
      <w:fldChar w:fldCharType="separate"/>
    </w:r>
    <w:r w:rsidR="00692301">
      <w:rPr>
        <w:noProof/>
      </w:rPr>
      <w:t>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43227" w14:textId="0D12377B" w:rsidR="00A321AB" w:rsidRDefault="00A321AB" w:rsidP="0047658F">
    <w:pPr>
      <w:numPr>
        <w:ilvl w:val="0"/>
        <w:numId w:val="7"/>
      </w:numPr>
      <w:tabs>
        <w:tab w:val="clear" w:pos="709"/>
        <w:tab w:val="clear" w:pos="1418"/>
        <w:tab w:val="clear" w:pos="2126"/>
        <w:tab w:val="clear" w:pos="2835"/>
        <w:tab w:val="clear" w:pos="3544"/>
        <w:tab w:val="clear" w:pos="4253"/>
        <w:tab w:val="clear" w:pos="4961"/>
        <w:tab w:val="clear" w:pos="5670"/>
        <w:tab w:val="center" w:pos="4678"/>
        <w:tab w:val="right" w:pos="9356"/>
      </w:tabs>
      <w:jc w:val="left"/>
    </w:pPr>
    <w:r>
      <w:t xml:space="preserve">SP Bill </w:t>
    </w:r>
    <w:fldSimple w:instr=" DOCPROPERTY &quot;Bill Number&quot;  \* MERGEFORMAT ">
      <w:r w:rsidR="00515783">
        <w:t>&lt;Bill Number&gt;</w:t>
      </w:r>
    </w:fldSimple>
    <w:r w:rsidR="00F5085D">
      <w:t>–EN</w:t>
    </w:r>
    <w:r>
      <w:tab/>
    </w:r>
    <w:r>
      <w:rPr>
        <w:rStyle w:val="PageNumber"/>
      </w:rPr>
      <w:fldChar w:fldCharType="begin"/>
    </w:r>
    <w:r>
      <w:rPr>
        <w:rStyle w:val="PageNumber"/>
      </w:rPr>
      <w:instrText xml:space="preserve"> PAGE </w:instrText>
    </w:r>
    <w:r>
      <w:rPr>
        <w:rStyle w:val="PageNumber"/>
      </w:rPr>
      <w:fldChar w:fldCharType="separate"/>
    </w:r>
    <w:r w:rsidR="00692301">
      <w:rPr>
        <w:rStyle w:val="PageNumber"/>
        <w:noProof/>
      </w:rPr>
      <w:t>1</w:t>
    </w:r>
    <w:r>
      <w:rPr>
        <w:rStyle w:val="PageNumber"/>
      </w:rPr>
      <w:fldChar w:fldCharType="end"/>
    </w:r>
    <w:r>
      <w:tab/>
      <w:t xml:space="preserve">Session </w:t>
    </w:r>
    <w:r w:rsidR="003B41CC">
      <w:t xml:space="preserve">6 </w:t>
    </w:r>
    <w:r>
      <w:t>(</w:t>
    </w:r>
    <w:r w:rsidR="003B41CC">
      <w:t>2024</w:t>
    </w:r>
    <w: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78ADC" w14:textId="271F4EDB" w:rsidR="00A321AB" w:rsidRDefault="00A321AB" w:rsidP="00A321AB">
    <w:pPr>
      <w:tabs>
        <w:tab w:val="clear" w:pos="709"/>
        <w:tab w:val="clear" w:pos="1418"/>
        <w:tab w:val="clear" w:pos="2126"/>
        <w:tab w:val="clear" w:pos="2835"/>
        <w:tab w:val="clear" w:pos="3544"/>
        <w:tab w:val="clear" w:pos="4253"/>
        <w:tab w:val="clear" w:pos="4961"/>
        <w:tab w:val="clear" w:pos="5670"/>
        <w:tab w:val="center" w:pos="4678"/>
        <w:tab w:val="right" w:pos="9356"/>
      </w:tabs>
    </w:pPr>
    <w:r>
      <w:t xml:space="preserve">SP Bill </w:t>
    </w:r>
    <w:fldSimple w:instr=" DOCPROPERTY &quot;Bill Number&quot; \* MERGEFORMAT ">
      <w:r w:rsidR="00515783">
        <w:t>&lt;Bill Number&gt;</w:t>
      </w:r>
    </w:fldSimple>
    <w:r w:rsidR="00F5085D">
      <w:t>–EN</w:t>
    </w:r>
    <w:r>
      <w:tab/>
    </w:r>
    <w:r>
      <w:tab/>
      <w:t xml:space="preserve">Session </w:t>
    </w:r>
    <w:r w:rsidR="00717D70">
      <w:t xml:space="preserve">6 </w:t>
    </w:r>
    <w:r>
      <w:t>(</w:t>
    </w:r>
    <w:r w:rsidR="00717D70">
      <w:t>2024</w:t>
    </w:r>
    <w: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F8E499" w14:textId="77777777" w:rsidR="00B85562" w:rsidRDefault="00B85562">
      <w:r>
        <w:separator/>
      </w:r>
    </w:p>
  </w:footnote>
  <w:footnote w:type="continuationSeparator" w:id="0">
    <w:p w14:paraId="0F62700A" w14:textId="77777777" w:rsidR="00B85562" w:rsidRDefault="00B85562">
      <w:r>
        <w:continuationSeparator/>
      </w:r>
    </w:p>
  </w:footnote>
  <w:footnote w:type="continuationNotice" w:id="1">
    <w:p w14:paraId="5C525481" w14:textId="77777777" w:rsidR="00B85562" w:rsidRDefault="00B85562"/>
  </w:footnote>
  <w:footnote w:id="2">
    <w:p w14:paraId="484CDB47" w14:textId="26229425" w:rsidR="00C2196D" w:rsidRDefault="00C2196D">
      <w:pPr>
        <w:pStyle w:val="FootnoteText"/>
      </w:pPr>
      <w:r>
        <w:rPr>
          <w:rStyle w:val="FootnoteReference"/>
        </w:rPr>
        <w:footnoteRef/>
      </w:r>
      <w:r>
        <w:t xml:space="preserve"> </w:t>
      </w:r>
      <w:hyperlink r:id="rId1" w:history="1">
        <w:r>
          <w:rPr>
            <w:rStyle w:val="Hyperlink"/>
          </w:rPr>
          <w:t>National Health Service (Scotland) Act 1978 (legislation.gov.uk)</w:t>
        </w:r>
      </w:hyperlink>
    </w:p>
  </w:footnote>
  <w:footnote w:id="3">
    <w:p w14:paraId="5218AD01" w14:textId="0A112891" w:rsidR="005D2EA5" w:rsidRDefault="005D2EA5">
      <w:pPr>
        <w:pStyle w:val="FootnoteText"/>
      </w:pPr>
      <w:r>
        <w:rPr>
          <w:rStyle w:val="FootnoteReference"/>
        </w:rPr>
        <w:footnoteRef/>
      </w:r>
      <w:r>
        <w:t xml:space="preserve"> Health boards and special health boards are constituted under section 2 of the National Health Service (Scotland) Act 1978</w:t>
      </w:r>
      <w:r w:rsidR="0003542C">
        <w:t>.</w:t>
      </w:r>
      <w:r>
        <w:t xml:space="preserve"> Available at: </w:t>
      </w:r>
      <w:hyperlink r:id="rId2" w:history="1">
        <w:r>
          <w:rPr>
            <w:rStyle w:val="Hyperlink"/>
          </w:rPr>
          <w:t>National Health Service (Scotland) Act 1978 (legislation.gov.uk)</w:t>
        </w:r>
      </w:hyperlink>
      <w:r w:rsidR="00FF7943">
        <w:rPr>
          <w:rStyle w:val="Hyperlink"/>
        </w:rPr>
        <w:t>.</w:t>
      </w:r>
    </w:p>
  </w:footnote>
  <w:footnote w:id="4">
    <w:p w14:paraId="7803C189" w14:textId="721A1588" w:rsidR="005D2EA5" w:rsidRDefault="005D2EA5">
      <w:pPr>
        <w:pStyle w:val="FootnoteText"/>
      </w:pPr>
      <w:r>
        <w:rPr>
          <w:rStyle w:val="FootnoteReference"/>
        </w:rPr>
        <w:footnoteRef/>
      </w:r>
      <w:r>
        <w:t xml:space="preserve"> The Common Services Agency is constituted under section 10 of the National Health Service (Scotland) Act 1978. Available at: </w:t>
      </w:r>
      <w:hyperlink r:id="rId3" w:history="1">
        <w:r w:rsidRPr="005D2EA5">
          <w:rPr>
            <w:rStyle w:val="Hyperlink"/>
          </w:rPr>
          <w:t>National Health Service (Scotland) Act 1978 (legislation.gov.uk)</w:t>
        </w:r>
      </w:hyperlink>
      <w:r w:rsidR="00FF7943">
        <w:rPr>
          <w:rStyle w:val="Hyperlink"/>
        </w:rPr>
        <w:t>.</w:t>
      </w:r>
    </w:p>
  </w:footnote>
  <w:footnote w:id="5">
    <w:p w14:paraId="43F4DB91" w14:textId="088B8103" w:rsidR="005D2EA5" w:rsidRDefault="005D2EA5">
      <w:pPr>
        <w:pStyle w:val="FootnoteText"/>
      </w:pPr>
      <w:r>
        <w:rPr>
          <w:rStyle w:val="FootnoteReference"/>
        </w:rPr>
        <w:footnoteRef/>
      </w:r>
      <w:r>
        <w:t xml:space="preserve"> Local authorities are councils constituted </w:t>
      </w:r>
      <w:r w:rsidRPr="005D2EA5">
        <w:t>under section 2 of the Local Government etc. (Scotland) Act 1994</w:t>
      </w:r>
      <w:r>
        <w:t xml:space="preserve">. Available at: </w:t>
      </w:r>
      <w:hyperlink r:id="rId4" w:history="1">
        <w:r>
          <w:rPr>
            <w:rStyle w:val="Hyperlink"/>
          </w:rPr>
          <w:t>Local Government etc. (Scotland) Act 1994 (legislation.gov.uk)</w:t>
        </w:r>
      </w:hyperlink>
      <w:r w:rsidR="00FF7943">
        <w:rPr>
          <w:rStyle w:val="Hyperlink"/>
        </w:rPr>
        <w:t>.</w:t>
      </w:r>
    </w:p>
  </w:footnote>
  <w:footnote w:id="6">
    <w:p w14:paraId="2B700903" w14:textId="21523084" w:rsidR="005D2EA5" w:rsidRDefault="005D2EA5">
      <w:pPr>
        <w:pStyle w:val="FootnoteText"/>
      </w:pPr>
      <w:r>
        <w:rPr>
          <w:rStyle w:val="FootnoteReference"/>
        </w:rPr>
        <w:footnoteRef/>
      </w:r>
      <w:r>
        <w:t xml:space="preserve"> Integration joint boards are established under section 9(2) of the </w:t>
      </w:r>
      <w:r w:rsidRPr="005D2EA5">
        <w:t>Public Bodies (Joint Working) (Scotland) Act 2014</w:t>
      </w:r>
      <w:r>
        <w:t xml:space="preserve">. Available at: </w:t>
      </w:r>
      <w:hyperlink r:id="rId5" w:history="1">
        <w:r>
          <w:rPr>
            <w:rStyle w:val="Hyperlink"/>
          </w:rPr>
          <w:t>Public Bodies (Joint Working) (Scotland) Act 2014 (legislation.gov.uk)</w:t>
        </w:r>
      </w:hyperlink>
      <w:r w:rsidR="00FF7943">
        <w:rPr>
          <w:rStyle w:val="Hyperlink"/>
        </w:rPr>
        <w:t>.</w:t>
      </w:r>
    </w:p>
  </w:footnote>
  <w:footnote w:id="7">
    <w:p w14:paraId="30834248" w14:textId="77F3383B" w:rsidR="005D2EA5" w:rsidRDefault="005D2EA5">
      <w:pPr>
        <w:pStyle w:val="FootnoteText"/>
      </w:pPr>
      <w:r>
        <w:rPr>
          <w:rStyle w:val="FootnoteReference"/>
        </w:rPr>
        <w:footnoteRef/>
      </w:r>
      <w:r>
        <w:t xml:space="preserve"> Regulations under section 4(2) come into force on the day after Royal Assent</w:t>
      </w:r>
      <w:r w:rsidR="00FF7943">
        <w:t>.</w:t>
      </w:r>
    </w:p>
  </w:footnote>
  <w:footnote w:id="8">
    <w:p w14:paraId="6225FA5C" w14:textId="49489DA0" w:rsidR="005D2EA5" w:rsidRDefault="005D2EA5">
      <w:pPr>
        <w:pStyle w:val="FootnoteText"/>
      </w:pPr>
      <w:r>
        <w:rPr>
          <w:rStyle w:val="FootnoteReference"/>
        </w:rPr>
        <w:footnoteRef/>
      </w:r>
      <w:r>
        <w:t xml:space="preserve"> Health boards, special health boards, the Common Services Agency, local authorities and integration joint boards</w:t>
      </w:r>
      <w:r w:rsidR="00FF7943">
        <w:t>.</w:t>
      </w:r>
    </w:p>
  </w:footnote>
  <w:footnote w:id="9">
    <w:p w14:paraId="45E44DE5" w14:textId="022D647A" w:rsidR="00421705" w:rsidRDefault="00421705">
      <w:pPr>
        <w:pStyle w:val="FootnoteText"/>
      </w:pPr>
      <w:r>
        <w:rPr>
          <w:rStyle w:val="FootnoteReference"/>
        </w:rPr>
        <w:footnoteRef/>
      </w:r>
      <w:r>
        <w:t xml:space="preserve"> Health boards, Special Health Boards, the Common Services Agency, local authorities and integration joint boards</w:t>
      </w:r>
      <w:r w:rsidR="00FF7943">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469EE" w14:textId="744A3C97" w:rsidR="00F7649A" w:rsidRDefault="00F7649A" w:rsidP="00F7649A">
    <w:pPr>
      <w:ind w:right="-1"/>
      <w:jc w:val="center"/>
    </w:pPr>
    <w:r>
      <w:rPr>
        <w:i/>
      </w:rPr>
      <w:t>Th</w:t>
    </w:r>
    <w:r w:rsidR="00C22B88">
      <w:rPr>
        <w:i/>
      </w:rPr>
      <w:t>is</w:t>
    </w:r>
    <w:r>
      <w:rPr>
        <w:i/>
      </w:rPr>
      <w:t xml:space="preserve"> document relate</w:t>
    </w:r>
    <w:r w:rsidR="00C22B88">
      <w:rPr>
        <w:i/>
      </w:rPr>
      <w:t>s</w:t>
    </w:r>
    <w:r>
      <w:rPr>
        <w:i/>
      </w:rPr>
      <w:t xml:space="preserve"> to the </w:t>
    </w:r>
    <w:r w:rsidR="00FD76A7">
      <w:rPr>
        <w:i/>
      </w:rPr>
      <w:t xml:space="preserve">Right to Addiction Recovery (Scotland) Bill </w:t>
    </w:r>
    <w:r>
      <w:rPr>
        <w:i/>
      </w:rPr>
      <w:t xml:space="preserve">(SP Bill </w:t>
    </w:r>
    <w:r>
      <w:rPr>
        <w:i/>
      </w:rPr>
      <w:fldChar w:fldCharType="begin"/>
    </w:r>
    <w:r>
      <w:rPr>
        <w:i/>
      </w:rPr>
      <w:instrText xml:space="preserve"> DOCPROPERTY "Bill Number"  \* MERGEFORMAT </w:instrText>
    </w:r>
    <w:r>
      <w:rPr>
        <w:i/>
      </w:rPr>
      <w:fldChar w:fldCharType="separate"/>
    </w:r>
    <w:r w:rsidR="00515783">
      <w:rPr>
        <w:i/>
      </w:rPr>
      <w:t>&lt;Bill Number&gt;</w:t>
    </w:r>
    <w:r>
      <w:rPr>
        <w:i/>
      </w:rPr>
      <w:fldChar w:fldCharType="end"/>
    </w:r>
    <w:r>
      <w:rPr>
        <w:i/>
      </w:rPr>
      <w:t xml:space="preserve">) as introduced in the Scottish Parliament </w:t>
    </w:r>
    <w:r w:rsidR="00FD76A7">
      <w:rPr>
        <w:i/>
      </w:rPr>
      <w:t xml:space="preserve">on </w:t>
    </w:r>
    <w:r w:rsidR="00FD76A7" w:rsidRPr="00EF17D9">
      <w:rPr>
        <w:i/>
      </w:rPr>
      <w:t>1</w:t>
    </w:r>
    <w:r w:rsidR="00717D70" w:rsidRPr="00EF17D9">
      <w:rPr>
        <w:i/>
      </w:rPr>
      <w:t>4</w:t>
    </w:r>
    <w:r w:rsidR="00FD76A7">
      <w:rPr>
        <w:i/>
      </w:rPr>
      <w:t xml:space="preserve"> May 2024</w:t>
    </w:r>
  </w:p>
  <w:p w14:paraId="13D08F61" w14:textId="77777777" w:rsidR="00F7649A" w:rsidRDefault="00F7649A">
    <w:pPr>
      <w:pStyle w:val="Header"/>
    </w:pPr>
  </w:p>
  <w:p w14:paraId="43192D64" w14:textId="77777777" w:rsidR="00BA67FB" w:rsidRDefault="00BA67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CCFBD" w14:textId="3FC75161" w:rsidR="00A321AB" w:rsidRDefault="00A321AB" w:rsidP="00A321AB">
    <w:pPr>
      <w:ind w:right="-1"/>
      <w:jc w:val="center"/>
    </w:pPr>
    <w:r>
      <w:rPr>
        <w:i/>
      </w:rPr>
      <w:t>Th</w:t>
    </w:r>
    <w:r w:rsidR="00C22B88">
      <w:rPr>
        <w:i/>
      </w:rPr>
      <w:t>is</w:t>
    </w:r>
    <w:r>
      <w:rPr>
        <w:i/>
      </w:rPr>
      <w:t xml:space="preserve"> document relate</w:t>
    </w:r>
    <w:r w:rsidR="00C22B88">
      <w:rPr>
        <w:i/>
      </w:rPr>
      <w:t>s</w:t>
    </w:r>
    <w:r>
      <w:rPr>
        <w:i/>
      </w:rPr>
      <w:t xml:space="preserve"> to the </w:t>
    </w:r>
    <w:r w:rsidR="00FD76A7">
      <w:rPr>
        <w:i/>
      </w:rPr>
      <w:t xml:space="preserve">Right to Addiction Recovery (Scotland) </w:t>
    </w:r>
    <w:r>
      <w:rPr>
        <w:i/>
      </w:rPr>
      <w:t xml:space="preserve">Bill (SP Bill </w:t>
    </w:r>
    <w:r>
      <w:rPr>
        <w:i/>
      </w:rPr>
      <w:fldChar w:fldCharType="begin"/>
    </w:r>
    <w:r>
      <w:rPr>
        <w:i/>
      </w:rPr>
      <w:instrText xml:space="preserve"> DOCPROPERTY "Bill Number"  \* MERGEFORMAT </w:instrText>
    </w:r>
    <w:r>
      <w:rPr>
        <w:i/>
      </w:rPr>
      <w:fldChar w:fldCharType="separate"/>
    </w:r>
    <w:r w:rsidR="00515783">
      <w:rPr>
        <w:i/>
      </w:rPr>
      <w:t>&lt;Bill Number&gt;</w:t>
    </w:r>
    <w:r>
      <w:rPr>
        <w:i/>
      </w:rPr>
      <w:fldChar w:fldCharType="end"/>
    </w:r>
    <w:r>
      <w:rPr>
        <w:i/>
      </w:rPr>
      <w:t xml:space="preserve">) as introduced in the Scottish Parliament on </w:t>
    </w:r>
    <w:r w:rsidR="00717D70" w:rsidRPr="00EF17D9">
      <w:rPr>
        <w:i/>
      </w:rPr>
      <w:t>14</w:t>
    </w:r>
    <w:r w:rsidR="00FD76A7">
      <w:rPr>
        <w:i/>
      </w:rPr>
      <w:t xml:space="preserve"> May 2024</w:t>
    </w:r>
  </w:p>
  <w:p w14:paraId="1BBA4B32" w14:textId="77777777" w:rsidR="00A321AB" w:rsidRDefault="00A321AB">
    <w:pPr>
      <w:pStyle w:val="Header"/>
    </w:pPr>
  </w:p>
  <w:p w14:paraId="54E38638" w14:textId="77777777" w:rsidR="00A321AB" w:rsidRDefault="00A321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6BA2AEE"/>
    <w:multiLevelType w:val="multilevel"/>
    <w:tmpl w:val="93E4374A"/>
    <w:lvl w:ilvl="0">
      <w:start w:val="1"/>
      <w:numFmt w:val="decimal"/>
      <w:lvlText w:val="%1."/>
      <w:lvlJc w:val="left"/>
      <w:pPr>
        <w:tabs>
          <w:tab w:val="num" w:pos="709"/>
        </w:tabs>
        <w:ind w:left="0" w:firstLine="0"/>
      </w:pPr>
      <w:rPr>
        <w:rFonts w:hint="default"/>
        <w:i w:val="0"/>
        <w:iCs w:val="0"/>
      </w:rPr>
    </w:lvl>
    <w:lvl w:ilvl="1">
      <w:start w:val="1"/>
      <w:numFmt w:val="lowerLetter"/>
      <w:lvlText w:val="%2)"/>
      <w:lvlJc w:val="left"/>
      <w:pPr>
        <w:ind w:left="-131" w:hanging="360"/>
      </w:pPr>
      <w:rPr>
        <w:rFonts w:hint="default"/>
      </w:rPr>
    </w:lvl>
    <w:lvl w:ilvl="2">
      <w:start w:val="1"/>
      <w:numFmt w:val="lowerRoman"/>
      <w:lvlText w:val="%3)"/>
      <w:lvlJc w:val="left"/>
      <w:pPr>
        <w:ind w:left="229" w:hanging="360"/>
      </w:pPr>
      <w:rPr>
        <w:rFonts w:hint="default"/>
      </w:rPr>
    </w:lvl>
    <w:lvl w:ilvl="3">
      <w:start w:val="1"/>
      <w:numFmt w:val="decimal"/>
      <w:lvlText w:val="(%4)"/>
      <w:lvlJc w:val="left"/>
      <w:pPr>
        <w:ind w:left="589" w:hanging="360"/>
      </w:pPr>
      <w:rPr>
        <w:rFonts w:hint="default"/>
      </w:rPr>
    </w:lvl>
    <w:lvl w:ilvl="4">
      <w:start w:val="1"/>
      <w:numFmt w:val="lowerLetter"/>
      <w:lvlText w:val="(%5)"/>
      <w:lvlJc w:val="left"/>
      <w:pPr>
        <w:ind w:left="949" w:hanging="360"/>
      </w:pPr>
      <w:rPr>
        <w:rFonts w:hint="default"/>
      </w:rPr>
    </w:lvl>
    <w:lvl w:ilvl="5">
      <w:start w:val="1"/>
      <w:numFmt w:val="lowerRoman"/>
      <w:lvlText w:val="(%6)"/>
      <w:lvlJc w:val="left"/>
      <w:pPr>
        <w:ind w:left="1309" w:hanging="360"/>
      </w:pPr>
      <w:rPr>
        <w:rFonts w:hint="default"/>
      </w:rPr>
    </w:lvl>
    <w:lvl w:ilvl="6">
      <w:start w:val="1"/>
      <w:numFmt w:val="decimal"/>
      <w:lvlText w:val="%7."/>
      <w:lvlJc w:val="left"/>
      <w:pPr>
        <w:ind w:left="1669" w:hanging="360"/>
      </w:pPr>
      <w:rPr>
        <w:rFonts w:hint="default"/>
      </w:rPr>
    </w:lvl>
    <w:lvl w:ilvl="7">
      <w:start w:val="1"/>
      <w:numFmt w:val="lowerLetter"/>
      <w:lvlText w:val="%8."/>
      <w:lvlJc w:val="left"/>
      <w:pPr>
        <w:ind w:left="2029" w:hanging="360"/>
      </w:pPr>
      <w:rPr>
        <w:rFonts w:hint="default"/>
      </w:rPr>
    </w:lvl>
    <w:lvl w:ilvl="8">
      <w:start w:val="1"/>
      <w:numFmt w:val="lowerRoman"/>
      <w:lvlText w:val="%9."/>
      <w:lvlJc w:val="left"/>
      <w:pPr>
        <w:ind w:left="2389" w:hanging="360"/>
      </w:pPr>
      <w:rPr>
        <w:rFonts w:hint="default"/>
      </w:rPr>
    </w:lvl>
  </w:abstractNum>
  <w:abstractNum w:abstractNumId="2" w15:restartNumberingAfterBreak="0">
    <w:nsid w:val="0B4A4F39"/>
    <w:multiLevelType w:val="singleLevel"/>
    <w:tmpl w:val="E54E95CE"/>
    <w:lvl w:ilvl="0">
      <w:start w:val="1"/>
      <w:numFmt w:val="none"/>
      <w:lvlText w:val=""/>
      <w:legacy w:legacy="1" w:legacySpace="0" w:legacyIndent="0"/>
      <w:lvlJc w:val="left"/>
    </w:lvl>
  </w:abstractNum>
  <w:abstractNum w:abstractNumId="3" w15:restartNumberingAfterBreak="0">
    <w:nsid w:val="0B5E57E8"/>
    <w:multiLevelType w:val="singleLevel"/>
    <w:tmpl w:val="C3C6F4E2"/>
    <w:lvl w:ilvl="0">
      <w:start w:val="1"/>
      <w:numFmt w:val="lowerLetter"/>
      <w:pStyle w:val="BillADSubPara"/>
      <w:lvlText w:val="(%1)"/>
      <w:lvlJc w:val="left"/>
      <w:pPr>
        <w:tabs>
          <w:tab w:val="num" w:pos="360"/>
        </w:tabs>
        <w:ind w:left="360" w:hanging="360"/>
      </w:pPr>
    </w:lvl>
  </w:abstractNum>
  <w:abstractNum w:abstractNumId="4" w15:restartNumberingAfterBreak="0">
    <w:nsid w:val="0CC1771C"/>
    <w:multiLevelType w:val="multilevel"/>
    <w:tmpl w:val="A1363A94"/>
    <w:lvl w:ilvl="0">
      <w:start w:val="1"/>
      <w:numFmt w:val="decimal"/>
      <w:pStyle w:val="BillADPara"/>
      <w:lvlText w:val="%1."/>
      <w:lvlJc w:val="left"/>
      <w:pPr>
        <w:tabs>
          <w:tab w:val="num" w:pos="709"/>
        </w:tabs>
        <w:ind w:left="0" w:firstLine="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1FA4862"/>
    <w:multiLevelType w:val="hybridMultilevel"/>
    <w:tmpl w:val="3DD22250"/>
    <w:lvl w:ilvl="0" w:tplc="97D68852">
      <w:start w:val="1"/>
      <w:numFmt w:val="decimal"/>
      <w:lvlText w:val="%1."/>
      <w:lvlJc w:val="left"/>
      <w:pPr>
        <w:tabs>
          <w:tab w:val="num" w:pos="357"/>
        </w:tabs>
        <w:ind w:left="0" w:firstLine="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0E2347"/>
    <w:multiLevelType w:val="singleLevel"/>
    <w:tmpl w:val="CE0E81C8"/>
    <w:lvl w:ilvl="0">
      <w:start w:val="1"/>
      <w:numFmt w:val="decimal"/>
      <w:lvlText w:val="%1."/>
      <w:legacy w:legacy="1" w:legacySpace="0" w:legacyIndent="0"/>
      <w:lvlJc w:val="left"/>
    </w:lvl>
  </w:abstractNum>
  <w:abstractNum w:abstractNumId="7" w15:restartNumberingAfterBreak="0">
    <w:nsid w:val="1BF52A91"/>
    <w:multiLevelType w:val="singleLevel"/>
    <w:tmpl w:val="E834D688"/>
    <w:lvl w:ilvl="0">
      <w:start w:val="1"/>
      <w:numFmt w:val="none"/>
      <w:lvlText w:val=""/>
      <w:legacy w:legacy="1" w:legacySpace="0" w:legacyIndent="0"/>
      <w:lvlJc w:val="left"/>
    </w:lvl>
  </w:abstractNum>
  <w:abstractNum w:abstractNumId="8" w15:restartNumberingAfterBreak="0">
    <w:nsid w:val="20853E8A"/>
    <w:multiLevelType w:val="hybridMultilevel"/>
    <w:tmpl w:val="54165A64"/>
    <w:lvl w:ilvl="0" w:tplc="035EA0CE">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F32786"/>
    <w:multiLevelType w:val="singleLevel"/>
    <w:tmpl w:val="872869CA"/>
    <w:lvl w:ilvl="0">
      <w:start w:val="1"/>
      <w:numFmt w:val="none"/>
      <w:pStyle w:val="Heading4"/>
      <w:lvlText w:val=""/>
      <w:legacy w:legacy="1" w:legacySpace="0" w:legacyIndent="0"/>
      <w:lvlJc w:val="left"/>
    </w:lvl>
  </w:abstractNum>
  <w:abstractNum w:abstractNumId="10" w15:restartNumberingAfterBreak="0">
    <w:nsid w:val="2E8028E6"/>
    <w:multiLevelType w:val="singleLevel"/>
    <w:tmpl w:val="E54E95CE"/>
    <w:lvl w:ilvl="0">
      <w:start w:val="1"/>
      <w:numFmt w:val="none"/>
      <w:lvlText w:val=""/>
      <w:legacy w:legacy="1" w:legacySpace="0" w:legacyIndent="0"/>
      <w:lvlJc w:val="left"/>
    </w:lvl>
  </w:abstractNum>
  <w:abstractNum w:abstractNumId="11" w15:restartNumberingAfterBreak="0">
    <w:nsid w:val="3838794E"/>
    <w:multiLevelType w:val="singleLevel"/>
    <w:tmpl w:val="E834D688"/>
    <w:lvl w:ilvl="0">
      <w:start w:val="1"/>
      <w:numFmt w:val="none"/>
      <w:lvlText w:val=""/>
      <w:legacy w:legacy="1" w:legacySpace="0" w:legacyIndent="0"/>
      <w:lvlJc w:val="left"/>
    </w:lvl>
  </w:abstractNum>
  <w:abstractNum w:abstractNumId="12" w15:restartNumberingAfterBreak="0">
    <w:nsid w:val="38D61E54"/>
    <w:multiLevelType w:val="hybridMultilevel"/>
    <w:tmpl w:val="8AF44F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DB33BA4"/>
    <w:multiLevelType w:val="singleLevel"/>
    <w:tmpl w:val="E54E95CE"/>
    <w:lvl w:ilvl="0">
      <w:start w:val="1"/>
      <w:numFmt w:val="none"/>
      <w:lvlText w:val=""/>
      <w:legacy w:legacy="1" w:legacySpace="0" w:legacyIndent="0"/>
      <w:lvlJc w:val="left"/>
    </w:lvl>
  </w:abstractNum>
  <w:abstractNum w:abstractNumId="14" w15:restartNumberingAfterBreak="0">
    <w:nsid w:val="41D37AA3"/>
    <w:multiLevelType w:val="hybridMultilevel"/>
    <w:tmpl w:val="5EB22598"/>
    <w:lvl w:ilvl="0" w:tplc="A5FE7F50">
      <w:start w:val="1"/>
      <w:numFmt w:val="bullet"/>
      <w:pStyle w:val="BillADBulletAfter18p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5" w15:restartNumberingAfterBreak="0">
    <w:nsid w:val="43D15D11"/>
    <w:multiLevelType w:val="hybridMultilevel"/>
    <w:tmpl w:val="588436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4C57021"/>
    <w:multiLevelType w:val="singleLevel"/>
    <w:tmpl w:val="E834D688"/>
    <w:lvl w:ilvl="0">
      <w:start w:val="1"/>
      <w:numFmt w:val="none"/>
      <w:lvlText w:val=""/>
      <w:legacy w:legacy="1" w:legacySpace="0" w:legacyIndent="0"/>
      <w:lvlJc w:val="left"/>
      <w:pPr>
        <w:ind w:left="0" w:firstLine="0"/>
      </w:pPr>
    </w:lvl>
  </w:abstractNum>
  <w:abstractNum w:abstractNumId="17" w15:restartNumberingAfterBreak="0">
    <w:nsid w:val="49AB75A5"/>
    <w:multiLevelType w:val="singleLevel"/>
    <w:tmpl w:val="E834D688"/>
    <w:lvl w:ilvl="0">
      <w:start w:val="1"/>
      <w:numFmt w:val="none"/>
      <w:lvlText w:val=""/>
      <w:legacy w:legacy="1" w:legacySpace="0" w:legacyIndent="0"/>
      <w:lvlJc w:val="left"/>
      <w:pPr>
        <w:ind w:left="0" w:firstLine="0"/>
      </w:pPr>
    </w:lvl>
  </w:abstractNum>
  <w:abstractNum w:abstractNumId="18" w15:restartNumberingAfterBreak="0">
    <w:nsid w:val="4B2C299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C0E76E7"/>
    <w:multiLevelType w:val="hybridMultilevel"/>
    <w:tmpl w:val="F5928C04"/>
    <w:lvl w:ilvl="0" w:tplc="0670780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DF313C"/>
    <w:multiLevelType w:val="hybridMultilevel"/>
    <w:tmpl w:val="2D6016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4FD2F2C"/>
    <w:multiLevelType w:val="singleLevel"/>
    <w:tmpl w:val="E834D688"/>
    <w:lvl w:ilvl="0">
      <w:start w:val="1"/>
      <w:numFmt w:val="none"/>
      <w:lvlText w:val=""/>
      <w:legacy w:legacy="1" w:legacySpace="0" w:legacyIndent="0"/>
      <w:lvlJc w:val="left"/>
    </w:lvl>
  </w:abstractNum>
  <w:abstractNum w:abstractNumId="22" w15:restartNumberingAfterBreak="0">
    <w:nsid w:val="561E0EE6"/>
    <w:multiLevelType w:val="singleLevel"/>
    <w:tmpl w:val="E54E95CE"/>
    <w:lvl w:ilvl="0">
      <w:start w:val="1"/>
      <w:numFmt w:val="none"/>
      <w:lvlText w:val=""/>
      <w:legacy w:legacy="1" w:legacySpace="0" w:legacyIndent="0"/>
      <w:lvlJc w:val="left"/>
    </w:lvl>
  </w:abstractNum>
  <w:abstractNum w:abstractNumId="23" w15:restartNumberingAfterBreak="0">
    <w:nsid w:val="57E53536"/>
    <w:multiLevelType w:val="hybridMultilevel"/>
    <w:tmpl w:val="23E0B8B4"/>
    <w:lvl w:ilvl="0" w:tplc="4956DAD4">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4" w15:restartNumberingAfterBreak="0">
    <w:nsid w:val="5FB20915"/>
    <w:multiLevelType w:val="singleLevel"/>
    <w:tmpl w:val="E54E95CE"/>
    <w:lvl w:ilvl="0">
      <w:start w:val="1"/>
      <w:numFmt w:val="none"/>
      <w:lvlText w:val=""/>
      <w:legacy w:legacy="1" w:legacySpace="0" w:legacyIndent="0"/>
      <w:lvlJc w:val="left"/>
    </w:lvl>
  </w:abstractNum>
  <w:abstractNum w:abstractNumId="25" w15:restartNumberingAfterBreak="0">
    <w:nsid w:val="6405626E"/>
    <w:multiLevelType w:val="hybridMultilevel"/>
    <w:tmpl w:val="5FF239B2"/>
    <w:lvl w:ilvl="0" w:tplc="58FE5ED8">
      <w:start w:val="1"/>
      <w:numFmt w:val="decimal"/>
      <w:lvlText w:val="%1."/>
      <w:lvlJc w:val="left"/>
      <w:pPr>
        <w:ind w:left="720" w:hanging="360"/>
      </w:pPr>
    </w:lvl>
    <w:lvl w:ilvl="1" w:tplc="E258F1B8" w:tentative="1">
      <w:start w:val="1"/>
      <w:numFmt w:val="lowerLetter"/>
      <w:lvlText w:val="%2."/>
      <w:lvlJc w:val="left"/>
      <w:pPr>
        <w:ind w:left="1440" w:hanging="360"/>
      </w:pPr>
    </w:lvl>
    <w:lvl w:ilvl="2" w:tplc="D3AE61E8" w:tentative="1">
      <w:start w:val="1"/>
      <w:numFmt w:val="lowerRoman"/>
      <w:lvlText w:val="%3."/>
      <w:lvlJc w:val="right"/>
      <w:pPr>
        <w:ind w:left="2160" w:hanging="180"/>
      </w:pPr>
    </w:lvl>
    <w:lvl w:ilvl="3" w:tplc="8EC498A2" w:tentative="1">
      <w:start w:val="1"/>
      <w:numFmt w:val="decimal"/>
      <w:lvlText w:val="%4."/>
      <w:lvlJc w:val="left"/>
      <w:pPr>
        <w:ind w:left="2880" w:hanging="360"/>
      </w:pPr>
    </w:lvl>
    <w:lvl w:ilvl="4" w:tplc="167263B2" w:tentative="1">
      <w:start w:val="1"/>
      <w:numFmt w:val="lowerLetter"/>
      <w:lvlText w:val="%5."/>
      <w:lvlJc w:val="left"/>
      <w:pPr>
        <w:ind w:left="3600" w:hanging="360"/>
      </w:pPr>
    </w:lvl>
    <w:lvl w:ilvl="5" w:tplc="FC8AD1AE" w:tentative="1">
      <w:start w:val="1"/>
      <w:numFmt w:val="lowerRoman"/>
      <w:lvlText w:val="%6."/>
      <w:lvlJc w:val="right"/>
      <w:pPr>
        <w:ind w:left="4320" w:hanging="180"/>
      </w:pPr>
    </w:lvl>
    <w:lvl w:ilvl="6" w:tplc="7AA20776" w:tentative="1">
      <w:start w:val="1"/>
      <w:numFmt w:val="decimal"/>
      <w:lvlText w:val="%7."/>
      <w:lvlJc w:val="left"/>
      <w:pPr>
        <w:ind w:left="5040" w:hanging="360"/>
      </w:pPr>
    </w:lvl>
    <w:lvl w:ilvl="7" w:tplc="BDA601DC" w:tentative="1">
      <w:start w:val="1"/>
      <w:numFmt w:val="lowerLetter"/>
      <w:lvlText w:val="%8."/>
      <w:lvlJc w:val="left"/>
      <w:pPr>
        <w:ind w:left="5760" w:hanging="360"/>
      </w:pPr>
    </w:lvl>
    <w:lvl w:ilvl="8" w:tplc="C820E6E0" w:tentative="1">
      <w:start w:val="1"/>
      <w:numFmt w:val="lowerRoman"/>
      <w:lvlText w:val="%9."/>
      <w:lvlJc w:val="right"/>
      <w:pPr>
        <w:ind w:left="6480" w:hanging="180"/>
      </w:pPr>
    </w:lvl>
  </w:abstractNum>
  <w:abstractNum w:abstractNumId="26" w15:restartNumberingAfterBreak="0">
    <w:nsid w:val="654E1B44"/>
    <w:multiLevelType w:val="singleLevel"/>
    <w:tmpl w:val="E54E95CE"/>
    <w:lvl w:ilvl="0">
      <w:start w:val="1"/>
      <w:numFmt w:val="none"/>
      <w:lvlText w:val=""/>
      <w:legacy w:legacy="1" w:legacySpace="0" w:legacyIndent="0"/>
      <w:lvlJc w:val="left"/>
    </w:lvl>
  </w:abstractNum>
  <w:abstractNum w:abstractNumId="27" w15:restartNumberingAfterBreak="0">
    <w:nsid w:val="6EC53A71"/>
    <w:multiLevelType w:val="hybridMultilevel"/>
    <w:tmpl w:val="2968EAE8"/>
    <w:lvl w:ilvl="0" w:tplc="0809000F">
      <w:start w:val="5"/>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8" w15:restartNumberingAfterBreak="0">
    <w:nsid w:val="70594709"/>
    <w:multiLevelType w:val="singleLevel"/>
    <w:tmpl w:val="E54E95CE"/>
    <w:lvl w:ilvl="0">
      <w:start w:val="1"/>
      <w:numFmt w:val="none"/>
      <w:lvlText w:val=""/>
      <w:legacy w:legacy="1" w:legacySpace="0" w:legacyIndent="0"/>
      <w:lvlJc w:val="left"/>
    </w:lvl>
  </w:abstractNum>
  <w:abstractNum w:abstractNumId="29" w15:restartNumberingAfterBreak="0">
    <w:nsid w:val="7D311B2F"/>
    <w:multiLevelType w:val="singleLevel"/>
    <w:tmpl w:val="310636F6"/>
    <w:lvl w:ilvl="0">
      <w:start w:val="1"/>
      <w:numFmt w:val="bullet"/>
      <w:pStyle w:val="BillADBullet"/>
      <w:lvlText w:val=""/>
      <w:lvlJc w:val="left"/>
      <w:pPr>
        <w:tabs>
          <w:tab w:val="num" w:pos="360"/>
        </w:tabs>
        <w:ind w:left="360" w:hanging="360"/>
      </w:pPr>
      <w:rPr>
        <w:rFonts w:ascii="Symbol" w:hAnsi="Symbol" w:hint="default"/>
      </w:rPr>
    </w:lvl>
  </w:abstractNum>
  <w:num w:numId="1" w16cid:durableId="1314523856">
    <w:abstractNumId w:val="4"/>
  </w:num>
  <w:num w:numId="2" w16cid:durableId="109738784">
    <w:abstractNumId w:val="13"/>
  </w:num>
  <w:num w:numId="3" w16cid:durableId="1858621157">
    <w:abstractNumId w:val="10"/>
  </w:num>
  <w:num w:numId="4" w16cid:durableId="176308516">
    <w:abstractNumId w:val="24"/>
  </w:num>
  <w:num w:numId="5" w16cid:durableId="932740725">
    <w:abstractNumId w:val="9"/>
  </w:num>
  <w:num w:numId="6" w16cid:durableId="884682055">
    <w:abstractNumId w:val="26"/>
  </w:num>
  <w:num w:numId="7" w16cid:durableId="2070490394">
    <w:abstractNumId w:val="2"/>
  </w:num>
  <w:num w:numId="8" w16cid:durableId="1026635531">
    <w:abstractNumId w:val="22"/>
  </w:num>
  <w:num w:numId="9" w16cid:durableId="873541354">
    <w:abstractNumId w:val="28"/>
  </w:num>
  <w:num w:numId="10" w16cid:durableId="170025738">
    <w:abstractNumId w:val="18"/>
  </w:num>
  <w:num w:numId="11" w16cid:durableId="746264596">
    <w:abstractNumId w:val="11"/>
  </w:num>
  <w:num w:numId="12" w16cid:durableId="2033721495">
    <w:abstractNumId w:val="7"/>
  </w:num>
  <w:num w:numId="13" w16cid:durableId="1557277507">
    <w:abstractNumId w:val="6"/>
  </w:num>
  <w:num w:numId="14" w16cid:durableId="619728371">
    <w:abstractNumId w:val="16"/>
  </w:num>
  <w:num w:numId="15" w16cid:durableId="1526865565">
    <w:abstractNumId w:val="0"/>
    <w:lvlOverride w:ilvl="0">
      <w:lvl w:ilvl="0">
        <w:start w:val="1"/>
        <w:numFmt w:val="bullet"/>
        <w:lvlText w:val="?"/>
        <w:legacy w:legacy="1" w:legacySpace="0" w:legacyIndent="283"/>
        <w:lvlJc w:val="left"/>
        <w:pPr>
          <w:ind w:left="680" w:hanging="283"/>
        </w:pPr>
        <w:rPr>
          <w:rFonts w:ascii="Times" w:hAnsi="Times" w:hint="default"/>
          <w:sz w:val="20"/>
        </w:rPr>
      </w:lvl>
    </w:lvlOverride>
  </w:num>
  <w:num w:numId="16" w16cid:durableId="410350517">
    <w:abstractNumId w:val="21"/>
  </w:num>
  <w:num w:numId="17" w16cid:durableId="1041058263">
    <w:abstractNumId w:val="17"/>
  </w:num>
  <w:num w:numId="18" w16cid:durableId="2049210180">
    <w:abstractNumId w:val="4"/>
  </w:num>
  <w:num w:numId="19" w16cid:durableId="975640812">
    <w:abstractNumId w:val="3"/>
  </w:num>
  <w:num w:numId="20" w16cid:durableId="1991444307">
    <w:abstractNumId w:val="29"/>
  </w:num>
  <w:num w:numId="21" w16cid:durableId="1828396817">
    <w:abstractNumId w:val="5"/>
  </w:num>
  <w:num w:numId="22" w16cid:durableId="298801036">
    <w:abstractNumId w:val="23"/>
  </w:num>
  <w:num w:numId="23" w16cid:durableId="1815951781">
    <w:abstractNumId w:val="25"/>
  </w:num>
  <w:num w:numId="24" w16cid:durableId="1559246467">
    <w:abstractNumId w:val="8"/>
  </w:num>
  <w:num w:numId="25" w16cid:durableId="564029616">
    <w:abstractNumId w:val="12"/>
  </w:num>
  <w:num w:numId="26" w16cid:durableId="2002198668">
    <w:abstractNumId w:val="20"/>
  </w:num>
  <w:num w:numId="27" w16cid:durableId="1731540064">
    <w:abstractNumId w:val="19"/>
  </w:num>
  <w:num w:numId="28" w16cid:durableId="932709233">
    <w:abstractNumId w:val="14"/>
  </w:num>
  <w:num w:numId="29" w16cid:durableId="870074685">
    <w:abstractNumId w:val="4"/>
  </w:num>
  <w:num w:numId="30" w16cid:durableId="1723677860">
    <w:abstractNumId w:val="29"/>
  </w:num>
  <w:num w:numId="31" w16cid:durableId="133178372">
    <w:abstractNumId w:val="14"/>
  </w:num>
  <w:num w:numId="32" w16cid:durableId="5223614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13643082">
    <w:abstractNumId w:val="1"/>
  </w:num>
  <w:num w:numId="34" w16cid:durableId="1144616440">
    <w:abstractNumId w:val="15"/>
  </w:num>
  <w:num w:numId="35" w16cid:durableId="1692147325">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mirrorMargin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9FD"/>
    <w:rsid w:val="000207F1"/>
    <w:rsid w:val="0003542C"/>
    <w:rsid w:val="00040323"/>
    <w:rsid w:val="000637DB"/>
    <w:rsid w:val="00080EB8"/>
    <w:rsid w:val="00081509"/>
    <w:rsid w:val="000A3BFF"/>
    <w:rsid w:val="000B0C2F"/>
    <w:rsid w:val="000B776A"/>
    <w:rsid w:val="000B7B32"/>
    <w:rsid w:val="000D5988"/>
    <w:rsid w:val="000F31DE"/>
    <w:rsid w:val="000F50D8"/>
    <w:rsid w:val="0011003B"/>
    <w:rsid w:val="00132A44"/>
    <w:rsid w:val="00146196"/>
    <w:rsid w:val="0014761B"/>
    <w:rsid w:val="00155FFB"/>
    <w:rsid w:val="00164F5C"/>
    <w:rsid w:val="001768BA"/>
    <w:rsid w:val="00181F7D"/>
    <w:rsid w:val="00184EE1"/>
    <w:rsid w:val="00186E81"/>
    <w:rsid w:val="0018759A"/>
    <w:rsid w:val="0019397D"/>
    <w:rsid w:val="0019531B"/>
    <w:rsid w:val="0019750C"/>
    <w:rsid w:val="001B3DF0"/>
    <w:rsid w:val="001F2942"/>
    <w:rsid w:val="002153A1"/>
    <w:rsid w:val="002300B4"/>
    <w:rsid w:val="00240618"/>
    <w:rsid w:val="00241154"/>
    <w:rsid w:val="0024681F"/>
    <w:rsid w:val="00267407"/>
    <w:rsid w:val="002820E6"/>
    <w:rsid w:val="00282FC5"/>
    <w:rsid w:val="0028346B"/>
    <w:rsid w:val="00295A8E"/>
    <w:rsid w:val="002B3C27"/>
    <w:rsid w:val="002C144C"/>
    <w:rsid w:val="002D13F0"/>
    <w:rsid w:val="002D3DF5"/>
    <w:rsid w:val="002E499F"/>
    <w:rsid w:val="003070C6"/>
    <w:rsid w:val="00315B86"/>
    <w:rsid w:val="00315F51"/>
    <w:rsid w:val="00320DE7"/>
    <w:rsid w:val="0032110C"/>
    <w:rsid w:val="00321887"/>
    <w:rsid w:val="003430C4"/>
    <w:rsid w:val="00350155"/>
    <w:rsid w:val="003618B9"/>
    <w:rsid w:val="0036616B"/>
    <w:rsid w:val="00366A8B"/>
    <w:rsid w:val="0039381A"/>
    <w:rsid w:val="0039387C"/>
    <w:rsid w:val="003A6D75"/>
    <w:rsid w:val="003B41CC"/>
    <w:rsid w:val="003B7255"/>
    <w:rsid w:val="003C0E18"/>
    <w:rsid w:val="003D44A4"/>
    <w:rsid w:val="003E4C2B"/>
    <w:rsid w:val="0040186C"/>
    <w:rsid w:val="00421705"/>
    <w:rsid w:val="00437E19"/>
    <w:rsid w:val="004409FD"/>
    <w:rsid w:val="004579AF"/>
    <w:rsid w:val="004603E3"/>
    <w:rsid w:val="0047658F"/>
    <w:rsid w:val="004B6BBE"/>
    <w:rsid w:val="004C242C"/>
    <w:rsid w:val="004D410B"/>
    <w:rsid w:val="004F736C"/>
    <w:rsid w:val="00501538"/>
    <w:rsid w:val="00515783"/>
    <w:rsid w:val="00541785"/>
    <w:rsid w:val="00573C41"/>
    <w:rsid w:val="005D2EA5"/>
    <w:rsid w:val="005F3184"/>
    <w:rsid w:val="005F630F"/>
    <w:rsid w:val="0060038A"/>
    <w:rsid w:val="0063583F"/>
    <w:rsid w:val="00671908"/>
    <w:rsid w:val="006739ED"/>
    <w:rsid w:val="00692301"/>
    <w:rsid w:val="0069424B"/>
    <w:rsid w:val="006B1083"/>
    <w:rsid w:val="006B4F88"/>
    <w:rsid w:val="006C4CD8"/>
    <w:rsid w:val="006D3453"/>
    <w:rsid w:val="006E2176"/>
    <w:rsid w:val="006E44BA"/>
    <w:rsid w:val="00712F33"/>
    <w:rsid w:val="00717D70"/>
    <w:rsid w:val="007264A5"/>
    <w:rsid w:val="00753C82"/>
    <w:rsid w:val="0076073B"/>
    <w:rsid w:val="00793CB9"/>
    <w:rsid w:val="007B63EB"/>
    <w:rsid w:val="007C2C74"/>
    <w:rsid w:val="007C6AFE"/>
    <w:rsid w:val="007C6D74"/>
    <w:rsid w:val="007E5D8C"/>
    <w:rsid w:val="007F0336"/>
    <w:rsid w:val="007F44EA"/>
    <w:rsid w:val="00803A45"/>
    <w:rsid w:val="00806C89"/>
    <w:rsid w:val="00831506"/>
    <w:rsid w:val="00837F36"/>
    <w:rsid w:val="008448B8"/>
    <w:rsid w:val="00844E37"/>
    <w:rsid w:val="0086075D"/>
    <w:rsid w:val="00864263"/>
    <w:rsid w:val="008B209C"/>
    <w:rsid w:val="008B43C5"/>
    <w:rsid w:val="008B4CDA"/>
    <w:rsid w:val="008B6224"/>
    <w:rsid w:val="008D6589"/>
    <w:rsid w:val="008E684A"/>
    <w:rsid w:val="008E7A89"/>
    <w:rsid w:val="008F0FB7"/>
    <w:rsid w:val="008F5B9B"/>
    <w:rsid w:val="008F7DBB"/>
    <w:rsid w:val="0090331B"/>
    <w:rsid w:val="0090741C"/>
    <w:rsid w:val="0091447B"/>
    <w:rsid w:val="009232FF"/>
    <w:rsid w:val="009263DF"/>
    <w:rsid w:val="00945A7B"/>
    <w:rsid w:val="00953B7B"/>
    <w:rsid w:val="00962B35"/>
    <w:rsid w:val="00971F0C"/>
    <w:rsid w:val="00992188"/>
    <w:rsid w:val="009A20A1"/>
    <w:rsid w:val="009B5C4C"/>
    <w:rsid w:val="009C077D"/>
    <w:rsid w:val="009C1027"/>
    <w:rsid w:val="009D50C6"/>
    <w:rsid w:val="009D66C2"/>
    <w:rsid w:val="009D7381"/>
    <w:rsid w:val="00A170CC"/>
    <w:rsid w:val="00A321AB"/>
    <w:rsid w:val="00A33A7D"/>
    <w:rsid w:val="00A356F5"/>
    <w:rsid w:val="00A451C3"/>
    <w:rsid w:val="00A67349"/>
    <w:rsid w:val="00A80BC1"/>
    <w:rsid w:val="00A93BFB"/>
    <w:rsid w:val="00AC276A"/>
    <w:rsid w:val="00AF460C"/>
    <w:rsid w:val="00AF57C8"/>
    <w:rsid w:val="00AF6E0B"/>
    <w:rsid w:val="00B0448B"/>
    <w:rsid w:val="00B0775B"/>
    <w:rsid w:val="00B103C9"/>
    <w:rsid w:val="00B329F6"/>
    <w:rsid w:val="00B36D71"/>
    <w:rsid w:val="00B413A9"/>
    <w:rsid w:val="00B423C7"/>
    <w:rsid w:val="00B709BA"/>
    <w:rsid w:val="00B85562"/>
    <w:rsid w:val="00B858F4"/>
    <w:rsid w:val="00B9737C"/>
    <w:rsid w:val="00BA67FB"/>
    <w:rsid w:val="00BD3215"/>
    <w:rsid w:val="00BF33A6"/>
    <w:rsid w:val="00BF6C53"/>
    <w:rsid w:val="00C15BE0"/>
    <w:rsid w:val="00C2196D"/>
    <w:rsid w:val="00C22B88"/>
    <w:rsid w:val="00C242E5"/>
    <w:rsid w:val="00C25686"/>
    <w:rsid w:val="00C46BAF"/>
    <w:rsid w:val="00C648A6"/>
    <w:rsid w:val="00CB084E"/>
    <w:rsid w:val="00CC6802"/>
    <w:rsid w:val="00CD3817"/>
    <w:rsid w:val="00D22CC2"/>
    <w:rsid w:val="00D578E6"/>
    <w:rsid w:val="00D66D68"/>
    <w:rsid w:val="00D704FB"/>
    <w:rsid w:val="00D7393D"/>
    <w:rsid w:val="00D8523F"/>
    <w:rsid w:val="00DA0C2C"/>
    <w:rsid w:val="00DA76AD"/>
    <w:rsid w:val="00DF5C39"/>
    <w:rsid w:val="00E01178"/>
    <w:rsid w:val="00E13BEF"/>
    <w:rsid w:val="00E155D4"/>
    <w:rsid w:val="00E20C28"/>
    <w:rsid w:val="00E35CD3"/>
    <w:rsid w:val="00E42E14"/>
    <w:rsid w:val="00EB0AFA"/>
    <w:rsid w:val="00EB37F0"/>
    <w:rsid w:val="00EB6277"/>
    <w:rsid w:val="00EB6EDE"/>
    <w:rsid w:val="00EC350B"/>
    <w:rsid w:val="00ED3945"/>
    <w:rsid w:val="00EE7F9E"/>
    <w:rsid w:val="00EF17D9"/>
    <w:rsid w:val="00EF46C2"/>
    <w:rsid w:val="00F00127"/>
    <w:rsid w:val="00F13AE6"/>
    <w:rsid w:val="00F15876"/>
    <w:rsid w:val="00F4669D"/>
    <w:rsid w:val="00F5085D"/>
    <w:rsid w:val="00F7649A"/>
    <w:rsid w:val="00F80D41"/>
    <w:rsid w:val="00F839C6"/>
    <w:rsid w:val="00F947A8"/>
    <w:rsid w:val="00F95E49"/>
    <w:rsid w:val="00FC2B91"/>
    <w:rsid w:val="00FD76A7"/>
    <w:rsid w:val="00FD7E50"/>
    <w:rsid w:val="00FE75EB"/>
    <w:rsid w:val="00FF3152"/>
    <w:rsid w:val="00FF3BD4"/>
    <w:rsid w:val="00FF79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28F1D19E"/>
  <w15:chartTrackingRefBased/>
  <w15:docId w15:val="{0E33FA9C-A7D4-4704-ADB1-9C25C008C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6"/>
    <w:qFormat/>
    <w:rsid w:val="000A3BFF"/>
    <w:pPr>
      <w:tabs>
        <w:tab w:val="left" w:pos="709"/>
        <w:tab w:val="left" w:pos="1418"/>
        <w:tab w:val="left" w:pos="2126"/>
        <w:tab w:val="left" w:pos="2835"/>
        <w:tab w:val="left" w:pos="3544"/>
        <w:tab w:val="left" w:pos="4253"/>
        <w:tab w:val="left" w:pos="4961"/>
        <w:tab w:val="left" w:pos="5670"/>
      </w:tabs>
      <w:jc w:val="both"/>
    </w:pPr>
    <w:rPr>
      <w:sz w:val="24"/>
    </w:rPr>
  </w:style>
  <w:style w:type="paragraph" w:styleId="Heading1">
    <w:name w:val="heading 1"/>
    <w:basedOn w:val="Normal"/>
    <w:next w:val="Normal"/>
    <w:semiHidden/>
    <w:qFormat/>
    <w:pPr>
      <w:keepNext/>
      <w:jc w:val="center"/>
      <w:outlineLvl w:val="0"/>
    </w:pPr>
    <w:rPr>
      <w:b/>
      <w:caps/>
      <w:sz w:val="28"/>
    </w:rPr>
  </w:style>
  <w:style w:type="paragraph" w:styleId="Heading2">
    <w:name w:val="heading 2"/>
    <w:basedOn w:val="Normal"/>
    <w:next w:val="Normal"/>
    <w:semiHidden/>
    <w:qFormat/>
    <w:pPr>
      <w:keepNext/>
      <w:numPr>
        <w:ilvl w:val="12"/>
      </w:numPr>
      <w:outlineLvl w:val="1"/>
    </w:pPr>
    <w:rPr>
      <w:b/>
      <w:caps/>
    </w:rPr>
  </w:style>
  <w:style w:type="paragraph" w:styleId="Heading3">
    <w:name w:val="heading 3"/>
    <w:basedOn w:val="Normal"/>
    <w:next w:val="Normal"/>
    <w:semiHidden/>
    <w:qFormat/>
    <w:pPr>
      <w:keepNext/>
      <w:outlineLvl w:val="2"/>
    </w:pPr>
    <w:rPr>
      <w:b/>
      <w:caps/>
    </w:rPr>
  </w:style>
  <w:style w:type="paragraph" w:styleId="Heading4">
    <w:name w:val="heading 4"/>
    <w:basedOn w:val="Normal"/>
    <w:next w:val="Normal"/>
    <w:semiHidden/>
    <w:qFormat/>
    <w:pPr>
      <w:keepNext/>
      <w:numPr>
        <w:numId w:val="5"/>
      </w:numPr>
      <w:ind w:left="360" w:hanging="360"/>
      <w:jc w:val="center"/>
      <w:outlineLvl w:val="3"/>
    </w:pPr>
    <w:rPr>
      <w:b/>
      <w:caps/>
      <w:sz w:val="28"/>
    </w:rPr>
  </w:style>
  <w:style w:type="paragraph" w:styleId="Heading5">
    <w:name w:val="heading 5"/>
    <w:basedOn w:val="Normal"/>
    <w:next w:val="Normal"/>
    <w:semiHidden/>
    <w:qFormat/>
    <w:pPr>
      <w:keepNext/>
      <w:jc w:val="center"/>
      <w:outlineLvl w:val="4"/>
    </w:pPr>
    <w:rPr>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ADInsertedText">
    <w:name w:val="BillADInsertedText"/>
    <w:basedOn w:val="Normal"/>
    <w:uiPriority w:val="12"/>
    <w:pPr>
      <w:tabs>
        <w:tab w:val="clear" w:pos="709"/>
        <w:tab w:val="clear" w:pos="1418"/>
        <w:tab w:val="clear" w:pos="2126"/>
        <w:tab w:val="clear" w:pos="2835"/>
        <w:tab w:val="clear" w:pos="3544"/>
        <w:tab w:val="clear" w:pos="4253"/>
        <w:tab w:val="clear" w:pos="4961"/>
        <w:tab w:val="clear" w:pos="5670"/>
      </w:tabs>
      <w:spacing w:after="120"/>
    </w:pPr>
  </w:style>
  <w:style w:type="paragraph" w:customStyle="1" w:styleId="BillADPara">
    <w:name w:val="BillADPara"/>
    <w:basedOn w:val="Normal"/>
    <w:uiPriority w:val="7"/>
    <w:rsid w:val="0011003B"/>
    <w:pPr>
      <w:numPr>
        <w:numId w:val="29"/>
      </w:numPr>
      <w:spacing w:after="360"/>
    </w:pPr>
  </w:style>
  <w:style w:type="paragraph" w:styleId="Header">
    <w:name w:val="header"/>
    <w:basedOn w:val="Normal"/>
    <w:semiHidden/>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emiHidden/>
  </w:style>
  <w:style w:type="paragraph" w:styleId="BlockText">
    <w:name w:val="Block Text"/>
    <w:basedOn w:val="Normal"/>
    <w:semiHidden/>
    <w:pPr>
      <w:spacing w:after="120"/>
      <w:ind w:left="1440" w:right="1440"/>
    </w:pPr>
  </w:style>
  <w:style w:type="paragraph" w:customStyle="1" w:styleId="BillADQuotedText">
    <w:name w:val="BillADQuotedText"/>
    <w:basedOn w:val="Normal"/>
    <w:uiPriority w:val="13"/>
    <w:pPr>
      <w:spacing w:after="360"/>
      <w:ind w:left="709"/>
    </w:pPr>
  </w:style>
  <w:style w:type="paragraph" w:customStyle="1" w:styleId="BillADHeading1">
    <w:name w:val="BillADHeading1"/>
    <w:basedOn w:val="Normal"/>
    <w:next w:val="BillADHeading2"/>
    <w:autoRedefine/>
    <w:rsid w:val="00A356F5"/>
    <w:pPr>
      <w:keepNext/>
      <w:keepLines/>
      <w:widowControl w:val="0"/>
      <w:spacing w:after="240"/>
      <w:jc w:val="center"/>
      <w:outlineLvl w:val="0"/>
    </w:pPr>
    <w:rPr>
      <w:b/>
      <w:caps/>
      <w:sz w:val="28"/>
    </w:rPr>
  </w:style>
  <w:style w:type="paragraph" w:customStyle="1" w:styleId="BillADHeading2">
    <w:name w:val="BillADHeading2"/>
    <w:basedOn w:val="Normal"/>
    <w:next w:val="BillADPara"/>
    <w:autoRedefine/>
    <w:uiPriority w:val="1"/>
    <w:rsid w:val="00F839C6"/>
    <w:pPr>
      <w:keepNext/>
      <w:keepLines/>
      <w:widowControl w:val="0"/>
      <w:spacing w:after="240"/>
      <w:outlineLvl w:val="1"/>
    </w:pPr>
    <w:rPr>
      <w:b/>
      <w:caps/>
    </w:rPr>
  </w:style>
  <w:style w:type="paragraph" w:customStyle="1" w:styleId="BillADHeading3">
    <w:name w:val="BillADHeading3"/>
    <w:basedOn w:val="Normal"/>
    <w:next w:val="BillADPara"/>
    <w:autoRedefine/>
    <w:uiPriority w:val="3"/>
    <w:rsid w:val="004C242C"/>
    <w:pPr>
      <w:keepNext/>
      <w:keepLines/>
      <w:widowControl w:val="0"/>
      <w:spacing w:after="240"/>
      <w:outlineLvl w:val="3"/>
    </w:pPr>
    <w:rPr>
      <w:b/>
    </w:rPr>
  </w:style>
  <w:style w:type="paragraph" w:customStyle="1" w:styleId="BillADHeading5">
    <w:name w:val="BillADHeading5"/>
    <w:basedOn w:val="Normal"/>
    <w:next w:val="BillADPara"/>
    <w:autoRedefine/>
    <w:uiPriority w:val="6"/>
    <w:rsid w:val="00421705"/>
    <w:pPr>
      <w:keepNext/>
      <w:keepLines/>
      <w:widowControl w:val="0"/>
      <w:spacing w:after="120"/>
      <w:outlineLvl w:val="6"/>
    </w:pPr>
    <w:rPr>
      <w:i/>
    </w:rPr>
  </w:style>
  <w:style w:type="paragraph" w:customStyle="1" w:styleId="BillADSubPara">
    <w:name w:val="BillADSubPara"/>
    <w:basedOn w:val="Normal"/>
    <w:uiPriority w:val="11"/>
    <w:rsid w:val="008E684A"/>
    <w:pPr>
      <w:numPr>
        <w:numId w:val="19"/>
      </w:numPr>
      <w:spacing w:after="120"/>
      <w:ind w:left="1423" w:hanging="714"/>
    </w:pPr>
  </w:style>
  <w:style w:type="paragraph" w:customStyle="1" w:styleId="BillADBullet">
    <w:name w:val="BillADBullet"/>
    <w:basedOn w:val="Normal"/>
    <w:uiPriority w:val="9"/>
    <w:pPr>
      <w:numPr>
        <w:numId w:val="20"/>
      </w:numPr>
      <w:tabs>
        <w:tab w:val="clear" w:pos="360"/>
        <w:tab w:val="clear" w:pos="709"/>
        <w:tab w:val="left" w:pos="1134"/>
      </w:tabs>
      <w:spacing w:after="120"/>
      <w:ind w:left="1134" w:hanging="425"/>
    </w:pPr>
  </w:style>
  <w:style w:type="paragraph" w:styleId="Revision">
    <w:name w:val="Revision"/>
    <w:hidden/>
    <w:uiPriority w:val="99"/>
    <w:semiHidden/>
    <w:rsid w:val="0019397D"/>
    <w:rPr>
      <w:sz w:val="24"/>
    </w:rPr>
  </w:style>
  <w:style w:type="paragraph" w:styleId="BalloonText">
    <w:name w:val="Balloon Text"/>
    <w:basedOn w:val="Normal"/>
    <w:link w:val="BalloonTextChar"/>
    <w:uiPriority w:val="99"/>
    <w:semiHidden/>
    <w:unhideWhenUsed/>
    <w:rsid w:val="0019397D"/>
    <w:rPr>
      <w:rFonts w:ascii="Tahoma" w:hAnsi="Tahoma" w:cs="Tahoma"/>
      <w:sz w:val="16"/>
      <w:szCs w:val="16"/>
    </w:rPr>
  </w:style>
  <w:style w:type="character" w:customStyle="1" w:styleId="BalloonTextChar">
    <w:name w:val="Balloon Text Char"/>
    <w:link w:val="BalloonText"/>
    <w:uiPriority w:val="99"/>
    <w:semiHidden/>
    <w:rsid w:val="0019397D"/>
    <w:rPr>
      <w:rFonts w:ascii="Tahoma" w:hAnsi="Tahoma" w:cs="Tahoma"/>
      <w:sz w:val="16"/>
      <w:szCs w:val="16"/>
    </w:rPr>
  </w:style>
  <w:style w:type="paragraph" w:customStyle="1" w:styleId="BillADParaAfter6pt">
    <w:name w:val="BillADParaAfter6 pt"/>
    <w:basedOn w:val="BillADPara"/>
    <w:next w:val="BillADBullet"/>
    <w:uiPriority w:val="8"/>
    <w:qFormat/>
    <w:rsid w:val="0011003B"/>
    <w:pPr>
      <w:spacing w:after="120"/>
    </w:pPr>
  </w:style>
  <w:style w:type="paragraph" w:customStyle="1" w:styleId="BillADBulletAfter18pt">
    <w:name w:val="BillADBulletAfter18pt"/>
    <w:basedOn w:val="Normal"/>
    <w:next w:val="BillADPara"/>
    <w:uiPriority w:val="10"/>
    <w:qFormat/>
    <w:rsid w:val="00E42E14"/>
    <w:pPr>
      <w:numPr>
        <w:numId w:val="28"/>
      </w:numPr>
      <w:tabs>
        <w:tab w:val="clear" w:pos="1418"/>
        <w:tab w:val="left" w:pos="1134"/>
      </w:tabs>
      <w:spacing w:after="360"/>
      <w:ind w:left="1134" w:hanging="425"/>
    </w:pPr>
  </w:style>
  <w:style w:type="character" w:customStyle="1" w:styleId="FooterChar">
    <w:name w:val="Footer Char"/>
    <w:link w:val="Footer"/>
    <w:uiPriority w:val="99"/>
    <w:rsid w:val="00F7649A"/>
    <w:rPr>
      <w:sz w:val="24"/>
    </w:rPr>
  </w:style>
  <w:style w:type="paragraph" w:customStyle="1" w:styleId="BillADAdditionalHeading1">
    <w:name w:val="BillADAdditionalHeading1"/>
    <w:basedOn w:val="BillADHeading3"/>
    <w:next w:val="BillADPara"/>
    <w:uiPriority w:val="2"/>
    <w:qFormat/>
    <w:rsid w:val="004603E3"/>
    <w:pPr>
      <w:outlineLvl w:val="2"/>
    </w:pPr>
    <w:rPr>
      <w:u w:val="single"/>
    </w:rPr>
  </w:style>
  <w:style w:type="paragraph" w:customStyle="1" w:styleId="BillADHeading4">
    <w:name w:val="BillADHeading4"/>
    <w:basedOn w:val="BillADHeading5"/>
    <w:next w:val="BillADPara"/>
    <w:autoRedefine/>
    <w:uiPriority w:val="4"/>
    <w:qFormat/>
    <w:rsid w:val="001B3DF0"/>
    <w:pPr>
      <w:spacing w:after="180"/>
      <w:outlineLvl w:val="4"/>
    </w:pPr>
    <w:rPr>
      <w:b/>
    </w:rPr>
  </w:style>
  <w:style w:type="paragraph" w:customStyle="1" w:styleId="BillADAdditionalHeading2">
    <w:name w:val="BillADAdditionalHeading2"/>
    <w:basedOn w:val="BillADHeading4"/>
    <w:next w:val="BillADPara"/>
    <w:autoRedefine/>
    <w:uiPriority w:val="5"/>
    <w:qFormat/>
    <w:rsid w:val="003A6D75"/>
    <w:pPr>
      <w:outlineLvl w:val="5"/>
    </w:pPr>
    <w:rPr>
      <w:b w:val="0"/>
      <w:u w:val="single"/>
    </w:rPr>
  </w:style>
  <w:style w:type="character" w:styleId="Hyperlink">
    <w:name w:val="Hyperlink"/>
    <w:uiPriority w:val="99"/>
    <w:unhideWhenUsed/>
    <w:rsid w:val="00C15BE0"/>
    <w:rPr>
      <w:color w:val="0000FF"/>
      <w:u w:val="single"/>
    </w:rPr>
  </w:style>
  <w:style w:type="paragraph" w:customStyle="1" w:styleId="BillADTitleAtEnd">
    <w:name w:val="BillADTitleAtEnd"/>
    <w:basedOn w:val="BillADHeading1"/>
    <w:autoRedefine/>
    <w:uiPriority w:val="16"/>
    <w:qFormat/>
    <w:rsid w:val="00A356F5"/>
    <w:pPr>
      <w:outlineLvl w:val="9"/>
    </w:pPr>
  </w:style>
  <w:style w:type="character" w:styleId="CommentReference">
    <w:name w:val="annotation reference"/>
    <w:basedOn w:val="DefaultParagraphFont"/>
    <w:uiPriority w:val="99"/>
    <w:semiHidden/>
    <w:unhideWhenUsed/>
    <w:rsid w:val="003C0E18"/>
    <w:rPr>
      <w:sz w:val="16"/>
      <w:szCs w:val="16"/>
    </w:rPr>
  </w:style>
  <w:style w:type="paragraph" w:styleId="CommentText">
    <w:name w:val="annotation text"/>
    <w:basedOn w:val="Normal"/>
    <w:link w:val="CommentTextChar"/>
    <w:uiPriority w:val="99"/>
    <w:semiHidden/>
    <w:unhideWhenUsed/>
    <w:rsid w:val="003C0E18"/>
    <w:rPr>
      <w:sz w:val="20"/>
    </w:rPr>
  </w:style>
  <w:style w:type="character" w:customStyle="1" w:styleId="CommentTextChar">
    <w:name w:val="Comment Text Char"/>
    <w:basedOn w:val="DefaultParagraphFont"/>
    <w:link w:val="CommentText"/>
    <w:uiPriority w:val="99"/>
    <w:semiHidden/>
    <w:rsid w:val="003C0E18"/>
  </w:style>
  <w:style w:type="paragraph" w:styleId="CommentSubject">
    <w:name w:val="annotation subject"/>
    <w:basedOn w:val="CommentText"/>
    <w:next w:val="CommentText"/>
    <w:link w:val="CommentSubjectChar"/>
    <w:uiPriority w:val="99"/>
    <w:semiHidden/>
    <w:unhideWhenUsed/>
    <w:rsid w:val="003C0E18"/>
    <w:rPr>
      <w:b/>
      <w:bCs/>
    </w:rPr>
  </w:style>
  <w:style w:type="character" w:customStyle="1" w:styleId="CommentSubjectChar">
    <w:name w:val="Comment Subject Char"/>
    <w:basedOn w:val="CommentTextChar"/>
    <w:link w:val="CommentSubject"/>
    <w:uiPriority w:val="99"/>
    <w:semiHidden/>
    <w:rsid w:val="003C0E18"/>
    <w:rPr>
      <w:b/>
      <w:bCs/>
    </w:rPr>
  </w:style>
  <w:style w:type="character" w:styleId="FootnoteReference">
    <w:name w:val="footnote reference"/>
    <w:basedOn w:val="DefaultParagraphFont"/>
    <w:uiPriority w:val="99"/>
    <w:semiHidden/>
    <w:unhideWhenUsed/>
    <w:rsid w:val="00267407"/>
    <w:rPr>
      <w:vertAlign w:val="superscript"/>
    </w:rPr>
  </w:style>
  <w:style w:type="paragraph" w:styleId="FootnoteText">
    <w:name w:val="footnote text"/>
    <w:basedOn w:val="Normal"/>
    <w:link w:val="FootnoteTextChar"/>
    <w:uiPriority w:val="99"/>
    <w:semiHidden/>
    <w:unhideWhenUsed/>
    <w:rsid w:val="005D2EA5"/>
    <w:rPr>
      <w:sz w:val="20"/>
    </w:rPr>
  </w:style>
  <w:style w:type="character" w:customStyle="1" w:styleId="FootnoteTextChar">
    <w:name w:val="Footnote Text Char"/>
    <w:basedOn w:val="DefaultParagraphFont"/>
    <w:link w:val="FootnoteText"/>
    <w:uiPriority w:val="99"/>
    <w:semiHidden/>
    <w:rsid w:val="005D2EA5"/>
  </w:style>
  <w:style w:type="character" w:styleId="FollowedHyperlink">
    <w:name w:val="FollowedHyperlink"/>
    <w:basedOn w:val="DefaultParagraphFont"/>
    <w:uiPriority w:val="99"/>
    <w:semiHidden/>
    <w:unhideWhenUsed/>
    <w:rsid w:val="005D2EA5"/>
    <w:rPr>
      <w:color w:val="954F72" w:themeColor="followedHyperlink"/>
      <w:u w:val="single"/>
    </w:rPr>
  </w:style>
  <w:style w:type="character" w:styleId="UnresolvedMention">
    <w:name w:val="Unresolved Mention"/>
    <w:basedOn w:val="DefaultParagraphFont"/>
    <w:uiPriority w:val="99"/>
    <w:semiHidden/>
    <w:unhideWhenUsed/>
    <w:rsid w:val="005D2E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79381">
      <w:bodyDiv w:val="1"/>
      <w:marLeft w:val="0"/>
      <w:marRight w:val="0"/>
      <w:marTop w:val="0"/>
      <w:marBottom w:val="0"/>
      <w:divBdr>
        <w:top w:val="none" w:sz="0" w:space="0" w:color="auto"/>
        <w:left w:val="none" w:sz="0" w:space="0" w:color="auto"/>
        <w:bottom w:val="none" w:sz="0" w:space="0" w:color="auto"/>
        <w:right w:val="none" w:sz="0" w:space="0" w:color="auto"/>
      </w:divBdr>
    </w:div>
    <w:div w:id="104155937">
      <w:bodyDiv w:val="1"/>
      <w:marLeft w:val="0"/>
      <w:marRight w:val="0"/>
      <w:marTop w:val="0"/>
      <w:marBottom w:val="0"/>
      <w:divBdr>
        <w:top w:val="none" w:sz="0" w:space="0" w:color="auto"/>
        <w:left w:val="none" w:sz="0" w:space="0" w:color="auto"/>
        <w:bottom w:val="none" w:sz="0" w:space="0" w:color="auto"/>
        <w:right w:val="none" w:sz="0" w:space="0" w:color="auto"/>
      </w:divBdr>
    </w:div>
    <w:div w:id="1194460804">
      <w:bodyDiv w:val="1"/>
      <w:marLeft w:val="0"/>
      <w:marRight w:val="0"/>
      <w:marTop w:val="0"/>
      <w:marBottom w:val="0"/>
      <w:divBdr>
        <w:top w:val="none" w:sz="0" w:space="0" w:color="auto"/>
        <w:left w:val="none" w:sz="0" w:space="0" w:color="auto"/>
        <w:bottom w:val="none" w:sz="0" w:space="0" w:color="auto"/>
        <w:right w:val="none" w:sz="0" w:space="0" w:color="auto"/>
      </w:divBdr>
    </w:div>
    <w:div w:id="1802767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yperlink" Target="http://www.parliament.scot" TargetMode="External"/><Relationship Id="rId3" Type="http://schemas.openxmlformats.org/officeDocument/2006/relationships/customXml" Target="../customXml/item2.xml"/><Relationship Id="rId21" Type="http://schemas.openxmlformats.org/officeDocument/2006/relationships/fontTable" Target="fontTable.xml"/><Relationship Id="rId7" Type="http://schemas.openxmlformats.org/officeDocument/2006/relationships/customXml" Target="../customXml/item6.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1.xml"/><Relationship Id="rId16" Type="http://schemas.openxmlformats.org/officeDocument/2006/relationships/header" Target="header2.xml"/><Relationship Id="rId20" Type="http://schemas.openxmlformats.org/officeDocument/2006/relationships/footer" Target="footer3.xml"/><Relationship Id="rId1" Type="http://schemas.microsoft.com/office/2006/relationships/keyMapCustomizations" Target="customizations.xml"/><Relationship Id="rId6" Type="http://schemas.openxmlformats.org/officeDocument/2006/relationships/customXml" Target="../customXml/item5.xml"/><Relationship Id="rId11" Type="http://schemas.openxmlformats.org/officeDocument/2006/relationships/webSettings" Target="webSettings.xml"/><Relationship Id="rId5" Type="http://schemas.openxmlformats.org/officeDocument/2006/relationships/customXml" Target="../customXml/item4.xml"/><Relationship Id="rId15" Type="http://schemas.openxmlformats.org/officeDocument/2006/relationships/footer" Target="footer1.xml"/><Relationship Id="rId10" Type="http://schemas.openxmlformats.org/officeDocument/2006/relationships/settings" Target="settings.xml"/><Relationship Id="rId19" Type="http://schemas.openxmlformats.org/officeDocument/2006/relationships/hyperlink" Target="http://www.parliament.scot/documents" TargetMode="External"/><Relationship Id="rId4" Type="http://schemas.openxmlformats.org/officeDocument/2006/relationships/customXml" Target="../customXml/item3.xml"/><Relationship Id="rId9" Type="http://schemas.openxmlformats.org/officeDocument/2006/relationships/styles" Target="styles.xml"/><Relationship Id="rId14" Type="http://schemas.openxmlformats.org/officeDocument/2006/relationships/header" Target="header1.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legislation.gov.uk/ukpga/1978/29/section/10" TargetMode="External"/><Relationship Id="rId2" Type="http://schemas.openxmlformats.org/officeDocument/2006/relationships/hyperlink" Target="https://www.legislation.gov.uk/ukpga/1978/29/section/2" TargetMode="External"/><Relationship Id="rId1" Type="http://schemas.openxmlformats.org/officeDocument/2006/relationships/hyperlink" Target="https://www.legislation.gov.uk/ukpga/1978/29/section/98" TargetMode="External"/><Relationship Id="rId5" Type="http://schemas.openxmlformats.org/officeDocument/2006/relationships/hyperlink" Target="https://www.legislation.gov.uk/asp/2014/9/section/9/enacted" TargetMode="External"/><Relationship Id="rId4" Type="http://schemas.openxmlformats.org/officeDocument/2006/relationships/hyperlink" Target="https://www.legislation.gov.uk/ukpga/1994/39/section/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SPS document" ma:contentTypeID="0x0101005E5DD8656D982041A2F2278B8806232B0100BE20882A1C80BF42AB8BB49A895FBC66" ma:contentTypeVersion="32" ma:contentTypeDescription="" ma:contentTypeScope="" ma:versionID="eea142326d11b72b240be66eb71fafda">
  <xsd:schema xmlns:xsd="http://www.w3.org/2001/XMLSchema" xmlns:xs="http://www.w3.org/2001/XMLSchema" xmlns:p="http://schemas.microsoft.com/office/2006/metadata/properties" xmlns:ns2="2aae4b3d-89b0-4287-b514-253578f20458" xmlns:ns3="b0cb3f79-7a87-4aaf-85e3-8b06bdbcb05a" targetNamespace="http://schemas.microsoft.com/office/2006/metadata/properties" ma:root="true" ma:fieldsID="6855b1e57700c408901fd4622bb96de0" ns2:_="" ns3:_="">
    <xsd:import namespace="2aae4b3d-89b0-4287-b514-253578f20458"/>
    <xsd:import namespace="b0cb3f79-7a87-4aaf-85e3-8b06bdbcb05a"/>
    <xsd:element name="properties">
      <xsd:complexType>
        <xsd:sequence>
          <xsd:element name="documentManagement">
            <xsd:complexType>
              <xsd:all>
                <xsd:element ref="ns2:me0ca972d02b47c28edd321aedd6af02" minOccurs="0"/>
                <xsd:element ref="ns2:TaxCatchAll" minOccurs="0"/>
                <xsd:element ref="ns2:TaxCatchAllLabel" minOccurs="0"/>
                <xsd:element ref="ns2:ha2d3fbb5bda47118db6a0a97a3a64c7" minOccurs="0"/>
                <xsd:element ref="ns2:gd3e280c44c043e38ab992083fd5c2f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ae4b3d-89b0-4287-b514-253578f20458" elementFormDefault="qualified">
    <xsd:import namespace="http://schemas.microsoft.com/office/2006/documentManagement/types"/>
    <xsd:import namespace="http://schemas.microsoft.com/office/infopath/2007/PartnerControls"/>
    <xsd:element name="me0ca972d02b47c28edd321aedd6af02" ma:index="8" nillable="true" ma:taxonomy="true" ma:internalName="me0ca972d02b47c28edd321aedd6af02" ma:taxonomyFieldName="Record_x0020_classification" ma:displayName="Record classification" ma:indexed="true" ma:default="" ma:fieldId="{6e0ca972-d02b-47c2-8edd-321aedd6af02}" ma:sspId="dae72980-c616-4350-b1f0-944e8da80af3" ma:termSetId="7ce5ed2c-7970-4dad-a989-f36bd51a5ca2"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5a5c1fcb-52bd-44c5-9143-aadb8331cbfe}" ma:internalName="TaxCatchAll" ma:showField="CatchAllData" ma:web="b0cb3f79-7a87-4aaf-85e3-8b06bdbcb05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5a5c1fcb-52bd-44c5-9143-aadb8331cbfe}" ma:internalName="TaxCatchAllLabel" ma:readOnly="true" ma:showField="CatchAllDataLabel" ma:web="b0cb3f79-7a87-4aaf-85e3-8b06bdbcb05a">
      <xsd:complexType>
        <xsd:complexContent>
          <xsd:extension base="dms:MultiChoiceLookup">
            <xsd:sequence>
              <xsd:element name="Value" type="dms:Lookup" maxOccurs="unbounded" minOccurs="0" nillable="true"/>
            </xsd:sequence>
          </xsd:extension>
        </xsd:complexContent>
      </xsd:complexType>
    </xsd:element>
    <xsd:element name="ha2d3fbb5bda47118db6a0a97a3a64c7" ma:index="12" nillable="true" ma:taxonomy="true" ma:internalName="ha2d3fbb5bda47118db6a0a97a3a64c7" ma:taxonomyFieldName="Security_x0020_marking" ma:displayName="Security marking" ma:default="" ma:fieldId="{1a2d3fbb-5bda-4711-8db6-a0a97a3a64c7}" ma:sspId="dae72980-c616-4350-b1f0-944e8da80af3" ma:termSetId="2101e3b3-ab6a-42f9-8e9e-f64b3905e49a" ma:anchorId="13ac7dcf-f3a2-4d0b-9e80-dd4d34be5e4c" ma:open="false" ma:isKeyword="false">
      <xsd:complexType>
        <xsd:sequence>
          <xsd:element ref="pc:Terms" minOccurs="0" maxOccurs="1"/>
        </xsd:sequence>
      </xsd:complexType>
    </xsd:element>
    <xsd:element name="gd3e280c44c043e38ab992083fd5c2fd" ma:index="14" nillable="true" ma:taxonomy="true" ma:internalName="gd3e280c44c043e38ab992083fd5c2fd" ma:taxonomyFieldName="Security_x0020_caveat" ma:displayName="Security caveat" ma:default="" ma:fieldId="{0d3e280c-44c0-43e3-8ab9-92083fd5c2fd}" ma:taxonomyMulti="true" ma:sspId="dae72980-c616-4350-b1f0-944e8da80af3" ma:termSetId="2101e3b3-ab6a-42f9-8e9e-f64b3905e49a" ma:anchorId="6fc02b3e-bb1c-4c4e-a2fe-3cc73cb9b89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0cb3f79-7a87-4aaf-85e3-8b06bdbcb05a" elementFormDefault="qualified">
    <xsd:import namespace="http://schemas.microsoft.com/office/2006/documentManagement/types"/>
    <xsd:import namespace="http://schemas.microsoft.com/office/infopath/2007/PartnerControls"/>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dae72980-c616-4350-b1f0-944e8da80af3" ContentTypeId="0x0101005E5DD8656D982041A2F2278B8806232B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p:properties xmlns:p="http://schemas.microsoft.com/office/2006/metadata/properties" xmlns:xsi="http://www.w3.org/2001/XMLSchema-instance" xmlns:pc="http://schemas.microsoft.com/office/infopath/2007/PartnerControls">
  <documentManagement>
    <TaxCatchAll xmlns="2aae4b3d-89b0-4287-b514-253578f20458" xsi:nil="true"/>
    <gd3e280c44c043e38ab992083fd5c2fd xmlns="2aae4b3d-89b0-4287-b514-253578f20458">
      <Terms xmlns="http://schemas.microsoft.com/office/infopath/2007/PartnerControls"/>
    </gd3e280c44c043e38ab992083fd5c2fd>
    <ha2d3fbb5bda47118db6a0a97a3a64c7 xmlns="2aae4b3d-89b0-4287-b514-253578f20458">
      <Terms xmlns="http://schemas.microsoft.com/office/infopath/2007/PartnerControls"/>
    </ha2d3fbb5bda47118db6a0a97a3a64c7>
    <_dlc_DocId xmlns="b0cb3f79-7a87-4aaf-85e3-8b06bdbcb05a">CHS6NGBU-67335888-4654</_dlc_DocId>
    <_dlc_DocIdUrl xmlns="b0cb3f79-7a87-4aaf-85e3-8b06bdbcb05a">
      <Url>https://scottish4.sharepoint.com/sites/chamber-s6-ngbu/_layouts/15/DocIdRedir.aspx?ID=CHS6NGBU-67335888-4654</Url>
      <Description>CHS6NGBU-67335888-4654</Description>
    </_dlc_DocIdUrl>
    <me0ca972d02b47c28edd321aedd6af02 xmlns="2aae4b3d-89b0-4287-b514-253578f20458">
      <Terms xmlns="http://schemas.microsoft.com/office/infopath/2007/PartnerControls"/>
    </me0ca972d02b47c28edd321aedd6af02>
  </documentManagement>
</p:properties>
</file>

<file path=customXml/itemProps1.xml><?xml version="1.0" encoding="utf-8"?>
<ds:datastoreItem xmlns:ds="http://schemas.openxmlformats.org/officeDocument/2006/customXml" ds:itemID="{6800885D-C77C-4AB0-9509-AB31A94DC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ae4b3d-89b0-4287-b514-253578f20458"/>
    <ds:schemaRef ds:uri="b0cb3f79-7a87-4aaf-85e3-8b06bdbcb0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5929A5-07D2-4B38-B1C4-34EEF34E3380}">
  <ds:schemaRefs>
    <ds:schemaRef ds:uri="Microsoft.SharePoint.Taxonomy.ContentTypeSync"/>
  </ds:schemaRefs>
</ds:datastoreItem>
</file>

<file path=customXml/itemProps3.xml><?xml version="1.0" encoding="utf-8"?>
<ds:datastoreItem xmlns:ds="http://schemas.openxmlformats.org/officeDocument/2006/customXml" ds:itemID="{4FF3A1DB-4FD7-4F66-A376-3E849463AE44}">
  <ds:schemaRefs>
    <ds:schemaRef ds:uri="http://schemas.microsoft.com/sharepoint/v3/contenttype/forms"/>
  </ds:schemaRefs>
</ds:datastoreItem>
</file>

<file path=customXml/itemProps4.xml><?xml version="1.0" encoding="utf-8"?>
<ds:datastoreItem xmlns:ds="http://schemas.openxmlformats.org/officeDocument/2006/customXml" ds:itemID="{D0296E6E-BDD6-4657-A4E6-72793C3CBCAC}">
  <ds:schemaRefs>
    <ds:schemaRef ds:uri="http://schemas.microsoft.com/sharepoint/events"/>
  </ds:schemaRefs>
</ds:datastoreItem>
</file>

<file path=customXml/itemProps5.xml><?xml version="1.0" encoding="utf-8"?>
<ds:datastoreItem xmlns:ds="http://schemas.openxmlformats.org/officeDocument/2006/customXml" ds:itemID="{E24CEDBA-D3FF-4A55-B578-B13BFF7CCFFA}">
  <ds:schemaRefs>
    <ds:schemaRef ds:uri="http://schemas.openxmlformats.org/officeDocument/2006/bibliography"/>
  </ds:schemaRefs>
</ds:datastoreItem>
</file>

<file path=customXml/itemProps6.xml><?xml version="1.0" encoding="utf-8"?>
<ds:datastoreItem xmlns:ds="http://schemas.openxmlformats.org/officeDocument/2006/customXml" ds:itemID="{2776EAAE-AE4B-40E1-9289-D6F97543BB70}">
  <ds:schemaRefs>
    <ds:schemaRef ds:uri="http://schemas.openxmlformats.org/package/2006/metadata/core-properties"/>
    <ds:schemaRef ds:uri="2aae4b3d-89b0-4287-b514-253578f20458"/>
    <ds:schemaRef ds:uri="http://purl.org/dc/elements/1.1/"/>
    <ds:schemaRef ds:uri="http://schemas.microsoft.com/office/2006/metadata/properties"/>
    <ds:schemaRef ds:uri="http://purl.org/dc/terms/"/>
    <ds:schemaRef ds:uri="b0cb3f79-7a87-4aaf-85e3-8b06bdbcb05a"/>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8</Pages>
  <Words>1988</Words>
  <Characters>10780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Explanatory Notes - Right to Addiction Recovery (Scotland) Bill</vt:lpstr>
    </vt:vector>
  </TitlesOfParts>
  <Company>The Scottish Parliament</Company>
  <LinksUpToDate>false</LinksUpToDate>
  <CharactersWithSpaces>12743</CharactersWithSpaces>
  <SharedDoc>false</SharedDoc>
  <HLinks>
    <vt:vector size="18" baseType="variant">
      <vt:variant>
        <vt:i4>851989</vt:i4>
      </vt:variant>
      <vt:variant>
        <vt:i4>30</vt:i4>
      </vt:variant>
      <vt:variant>
        <vt:i4>0</vt:i4>
      </vt:variant>
      <vt:variant>
        <vt:i4>5</vt:i4>
      </vt:variant>
      <vt:variant>
        <vt:lpwstr>http://www.parliament.scot/documents</vt:lpwstr>
      </vt:variant>
      <vt:variant>
        <vt:lpwstr/>
      </vt:variant>
      <vt:variant>
        <vt:i4>7995441</vt:i4>
      </vt:variant>
      <vt:variant>
        <vt:i4>27</vt:i4>
      </vt:variant>
      <vt:variant>
        <vt:i4>0</vt:i4>
      </vt:variant>
      <vt:variant>
        <vt:i4>5</vt:i4>
      </vt:variant>
      <vt:variant>
        <vt:lpwstr>http://www.parliament.scot/</vt:lpwstr>
      </vt:variant>
      <vt:variant>
        <vt:lpwstr/>
      </vt:variant>
      <vt:variant>
        <vt:i4>5177395</vt:i4>
      </vt:variant>
      <vt:variant>
        <vt:i4>3</vt:i4>
      </vt:variant>
      <vt:variant>
        <vt:i4>0</vt:i4>
      </vt:variant>
      <vt:variant>
        <vt:i4>5</vt:i4>
      </vt:variant>
      <vt:variant>
        <vt:lpwstr>LegislationTeam@parliament.scot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Explanatory Notes - Right to Addiction Recovery (Scotland) Bill</dc:title>
  <dc:subject/>
  <dc:creator>Bryan Chambers/Colin Roger</dc:creator>
  <cp:keywords/>
  <dc:description>Version 5.0.3 (XP) of Bill Handling Software - Amendments by Kevin Duffy &amp; Audrey Gray</dc:description>
  <cp:lastModifiedBy>Davidson P (Polly)</cp:lastModifiedBy>
  <cp:revision>5</cp:revision>
  <cp:lastPrinted>2016-07-07T09:21:00Z</cp:lastPrinted>
  <dcterms:created xsi:type="dcterms:W3CDTF">2024-05-08T09:32:00Z</dcterms:created>
  <dcterms:modified xsi:type="dcterms:W3CDTF">2024-05-09T09:52:00Z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hort Title">
    <vt:lpwstr>&lt;Short Title&gt;</vt:lpwstr>
  </property>
  <property fmtid="{D5CDD505-2E9C-101B-9397-08002B2CF9AE}" pid="3" name="Bill Number">
    <vt:lpwstr>&lt;Bill Number&gt;</vt:lpwstr>
  </property>
  <property fmtid="{D5CDD505-2E9C-101B-9397-08002B2CF9AE}" pid="4" name="Introduced Date">
    <vt:lpwstr>&lt;Introduced Date&gt;</vt:lpwstr>
  </property>
  <property fmtid="{D5CDD505-2E9C-101B-9397-08002B2CF9AE}" pid="5" name="Year">
    <vt:lpwstr>&lt;Year&gt;</vt:lpwstr>
  </property>
  <property fmtid="{D5CDD505-2E9C-101B-9397-08002B2CF9AE}" pid="6" name="Session Number">
    <vt:lpwstr>&lt;Session Number&gt;</vt:lpwstr>
  </property>
  <property fmtid="{D5CDD505-2E9C-101B-9397-08002B2CF9AE}" pid="7" name="ContentTypeId">
    <vt:lpwstr>0x0101005E5DD8656D982041A2F2278B8806232B0100BE20882A1C80BF42AB8BB49A895FBC66</vt:lpwstr>
  </property>
  <property fmtid="{D5CDD505-2E9C-101B-9397-08002B2CF9AE}" pid="8" name="_cx_SecurityMarkings">
    <vt:lpwstr>2;#Not Protectively Marked|59351c5f-b7fd-4a97-8559-c38b9b573e6f</vt:lpwstr>
  </property>
  <property fmtid="{D5CDD505-2E9C-101B-9397-08002B2CF9AE}" pid="9" name="Language1">
    <vt:lpwstr>1;#English|8f5ff656-5a7e-462f-b6ae-4a4400758434</vt:lpwstr>
  </property>
  <property fmtid="{D5CDD505-2E9C-101B-9397-08002B2CF9AE}" pid="10" name="Session">
    <vt:lpwstr>358;#Session 5 (2016 to 2021)|dcf66dba-f953-4133-8bab-6faec3260c27</vt:lpwstr>
  </property>
  <property fmtid="{D5CDD505-2E9C-101B-9397-08002B2CF9AE}" pid="11" name="_cx_NationalCaveats">
    <vt:lpwstr/>
  </property>
  <property fmtid="{D5CDD505-2E9C-101B-9397-08002B2CF9AE}" pid="12" name="Document_x0020_type">
    <vt:lpwstr/>
  </property>
  <property fmtid="{D5CDD505-2E9C-101B-9397-08002B2CF9AE}" pid="13" name="Order">
    <vt:r8>878400</vt:r8>
  </property>
  <property fmtid="{D5CDD505-2E9C-101B-9397-08002B2CF9AE}" pid="14" name="gf275752ad8a43cebb50c95122c44092">
    <vt:lpwstr/>
  </property>
  <property fmtid="{D5CDD505-2E9C-101B-9397-08002B2CF9AE}" pid="15" name="xd_Signature">
    <vt:bool>false</vt:bool>
  </property>
  <property fmtid="{D5CDD505-2E9C-101B-9397-08002B2CF9AE}" pid="16" name="l0e769f359ea4d3099041bd7f4391802">
    <vt:lpwstr/>
  </property>
  <property fmtid="{D5CDD505-2E9C-101B-9397-08002B2CF9AE}" pid="17" name="xd_ProgID">
    <vt:lpwstr/>
  </property>
  <property fmtid="{D5CDD505-2E9C-101B-9397-08002B2CF9AE}" pid="18" name="dlc_EmailCC">
    <vt:lpwstr/>
  </property>
  <property fmtid="{D5CDD505-2E9C-101B-9397-08002B2CF9AE}" pid="19" name="Bill">
    <vt:lpwstr/>
  </property>
  <property fmtid="{D5CDD505-2E9C-101B-9397-08002B2CF9AE}" pid="20" name="dlc_EmailSubject">
    <vt:lpwstr/>
  </property>
  <property fmtid="{D5CDD505-2E9C-101B-9397-08002B2CF9AE}" pid="21" name="dlc_EmailTo">
    <vt:lpwstr/>
  </property>
  <property fmtid="{D5CDD505-2E9C-101B-9397-08002B2CF9AE}" pid="22" name="dc81a62e02e14c00a3fb7e8975e60be5">
    <vt:lpwstr/>
  </property>
  <property fmtid="{D5CDD505-2E9C-101B-9397-08002B2CF9AE}" pid="23" name="TemplateUrl">
    <vt:lpwstr/>
  </property>
  <property fmtid="{D5CDD505-2E9C-101B-9397-08002B2CF9AE}" pid="24" name="SPPB No">
    <vt:lpwstr/>
  </property>
  <property fmtid="{D5CDD505-2E9C-101B-9397-08002B2CF9AE}" pid="25" name="BB number">
    <vt:lpwstr/>
  </property>
  <property fmtid="{D5CDD505-2E9C-101B-9397-08002B2CF9AE}" pid="26" name="_cx_CodeWords">
    <vt:lpwstr/>
  </property>
  <property fmtid="{D5CDD505-2E9C-101B-9397-08002B2CF9AE}" pid="27" name="dlc_EmailFrom">
    <vt:lpwstr/>
  </property>
  <property fmtid="{D5CDD505-2E9C-101B-9397-08002B2CF9AE}" pid="28" name="CX_RelocationTimestamp">
    <vt:lpwstr>2015-08-26T13:10:15Z</vt:lpwstr>
  </property>
  <property fmtid="{D5CDD505-2E9C-101B-9397-08002B2CF9AE}" pid="29" name="CX_RelocationUser">
    <vt:lpwstr>Bell F (Frances)</vt:lpwstr>
  </property>
  <property fmtid="{D5CDD505-2E9C-101B-9397-08002B2CF9AE}" pid="30" name="CX_RelocationOperation">
    <vt:lpwstr>Copy</vt:lpwstr>
  </property>
  <property fmtid="{D5CDD505-2E9C-101B-9397-08002B2CF9AE}" pid="31" name="CX_RelocationReason">
    <vt:lpwstr>Make templates easier to find</vt:lpwstr>
  </property>
  <property fmtid="{D5CDD505-2E9C-101B-9397-08002B2CF9AE}" pid="32" name="Bill_x0020_type">
    <vt:lpwstr/>
  </property>
  <property fmtid="{D5CDD505-2E9C-101B-9397-08002B2CF9AE}" pid="33" name="Document type">
    <vt:lpwstr/>
  </property>
  <property fmtid="{D5CDD505-2E9C-101B-9397-08002B2CF9AE}" pid="34" name="Bill type">
    <vt:lpwstr/>
  </property>
  <property fmtid="{D5CDD505-2E9C-101B-9397-08002B2CF9AE}" pid="35" name="Security marking">
    <vt:lpwstr/>
  </property>
  <property fmtid="{D5CDD505-2E9C-101B-9397-08002B2CF9AE}" pid="36" name="Security caveat">
    <vt:lpwstr/>
  </property>
  <property fmtid="{D5CDD505-2E9C-101B-9397-08002B2CF9AE}" pid="37" name="MediaServiceImageTags">
    <vt:lpwstr/>
  </property>
  <property fmtid="{D5CDD505-2E9C-101B-9397-08002B2CF9AE}" pid="38" name="lcf76f155ced4ddcb4097134ff3c332f">
    <vt:lpwstr/>
  </property>
  <property fmtid="{D5CDD505-2E9C-101B-9397-08002B2CF9AE}" pid="39" name="SharedWithUsers">
    <vt:lpwstr>206;#SharingLinks.a5c42185-b13d-43e4-9470-92d4d141e142.OrganizationEdit.271daa77-f048-4185-90c3-6c869a0cca7b;#205;#SharingLinks.5e8f9d73-9e69-47cb-a35d-c4b93097b160.OrganizationEdit.e4156f97-605f-45a3-9eb1-b442f55b0fe2;#69;#Morrison JA (Judith);#190;#SharingLinks.8c903f89-7e28-49cc-ac9f-65da7426fd22.OrganizationEdit.71e71a8f-6ff1-4521-98d2-4d011f429090;#375;#Fraser A (Alison);#40;#Thomson R (Roz);#121;#Davidson P (Polly);#39;#Stewart N (Neil)</vt:lpwstr>
  </property>
  <property fmtid="{D5CDD505-2E9C-101B-9397-08002B2CF9AE}" pid="40" name="Record classification">
    <vt:lpwstr/>
  </property>
  <property fmtid="{D5CDD505-2E9C-101B-9397-08002B2CF9AE}" pid="41" name="_dlc_DocIdItemGuid">
    <vt:lpwstr>f34a1dce-427c-4e73-93de-faabd0c91431</vt:lpwstr>
  </property>
</Properties>
</file>