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9F1A" w14:textId="239E6F21" w:rsidR="00281A23" w:rsidRDefault="00B603C5" w:rsidP="006755FB">
      <w:pPr>
        <w:pStyle w:val="18ptBold"/>
      </w:pPr>
      <w:r>
        <w:t>RIGHT TO ADDICTION RECOVERY (sCOTLAND)</w:t>
      </w:r>
      <w:r w:rsidR="00281A23" w:rsidRPr="00281A23">
        <w:t xml:space="preserve"> Bill</w:t>
      </w:r>
    </w:p>
    <w:p w14:paraId="73FB6882" w14:textId="77777777" w:rsidR="00281A23" w:rsidRPr="00281A23" w:rsidRDefault="00281A23" w:rsidP="00281A23">
      <w:pPr>
        <w:jc w:val="center"/>
        <w:rPr>
          <w:b/>
          <w:bCs/>
          <w:caps/>
          <w:sz w:val="36"/>
        </w:rPr>
      </w:pPr>
    </w:p>
    <w:p w14:paraId="0EE528AF" w14:textId="77777777" w:rsidR="00281A23" w:rsidRDefault="00281A23" w:rsidP="00281A23">
      <w:pPr>
        <w:jc w:val="center"/>
      </w:pPr>
      <w:r>
        <w:t>——————————</w:t>
      </w:r>
    </w:p>
    <w:p w14:paraId="085672F5" w14:textId="77777777" w:rsidR="00281A23" w:rsidRPr="00281A23" w:rsidRDefault="00281A23" w:rsidP="00281A23"/>
    <w:p w14:paraId="7784C903" w14:textId="77777777" w:rsidR="003D2B36" w:rsidRDefault="00CC1F03" w:rsidP="006D30CE">
      <w:pPr>
        <w:pStyle w:val="BillADHeading1"/>
      </w:pPr>
      <w:r>
        <w:t>F</w:t>
      </w:r>
      <w:r w:rsidR="003D2B36">
        <w:t xml:space="preserve">inancial </w:t>
      </w:r>
      <w:r>
        <w:t>M</w:t>
      </w:r>
      <w:r w:rsidR="003D2B36">
        <w:t>emorandum</w:t>
      </w:r>
    </w:p>
    <w:p w14:paraId="3FA51C84" w14:textId="2AA42CF7" w:rsidR="003D2B36" w:rsidRDefault="003D2B36" w:rsidP="000D3F16">
      <w:pPr>
        <w:pStyle w:val="BillADHeading2"/>
      </w:pPr>
    </w:p>
    <w:p w14:paraId="0CED5C0A" w14:textId="77777777" w:rsidR="00F94960" w:rsidRDefault="00F94960" w:rsidP="00F94960">
      <w:pPr>
        <w:pStyle w:val="BillADHeading2"/>
      </w:pPr>
      <w:r>
        <w:t>Introduction</w:t>
      </w:r>
      <w:r>
        <w:tab/>
      </w:r>
    </w:p>
    <w:p w14:paraId="2F6A9F7C" w14:textId="0DAF4D5A" w:rsidR="00F94960" w:rsidRDefault="00E40B8B" w:rsidP="00C950D7">
      <w:pPr>
        <w:pStyle w:val="BillADPara"/>
      </w:pPr>
      <w:r w:rsidRPr="00C950D7">
        <w:t>As</w:t>
      </w:r>
      <w:r>
        <w:t xml:space="preserve"> required under Rule 9.3.2 of the Parliament</w:t>
      </w:r>
      <w:r w:rsidR="00281A23">
        <w:t>’</w:t>
      </w:r>
      <w:r>
        <w:t xml:space="preserve">s Standing Orders, this Financial Memorandum is published to accompany the </w:t>
      </w:r>
      <w:r w:rsidR="0041392A">
        <w:t>Right to Addiction Recovery (Scotland)</w:t>
      </w:r>
      <w:r w:rsidRPr="006755FB">
        <w:rPr>
          <w:i/>
        </w:rPr>
        <w:t xml:space="preserve"> </w:t>
      </w:r>
      <w:r w:rsidRPr="00E40B8B">
        <w:t>Bill, introduced in the</w:t>
      </w:r>
      <w:r>
        <w:t xml:space="preserve"> Scottish Parliament on </w:t>
      </w:r>
      <w:r w:rsidR="0032201B">
        <w:t>1</w:t>
      </w:r>
      <w:r w:rsidR="23B2F548">
        <w:t>4</w:t>
      </w:r>
      <w:r w:rsidR="0032201B">
        <w:t xml:space="preserve"> May 2024</w:t>
      </w:r>
      <w:r>
        <w:t xml:space="preserve">. </w:t>
      </w:r>
    </w:p>
    <w:p w14:paraId="0EE1C5F1" w14:textId="24751B39" w:rsidR="003D2B36" w:rsidRDefault="00E40B8B" w:rsidP="00C950D7">
      <w:pPr>
        <w:pStyle w:val="BillADPara"/>
      </w:pPr>
      <w:r>
        <w:t>The following other accompanying documents are published separately:</w:t>
      </w:r>
    </w:p>
    <w:p w14:paraId="6AF34288" w14:textId="588C235F" w:rsidR="00355A84" w:rsidRDefault="00355A84" w:rsidP="00C274AD">
      <w:pPr>
        <w:pStyle w:val="BillADBullet"/>
        <w:numPr>
          <w:ilvl w:val="0"/>
          <w:numId w:val="9"/>
        </w:numPr>
      </w:pPr>
      <w:r>
        <w:t xml:space="preserve">statements on legislative competence by the Presiding Officer and by Douglas Ross MSP (SP Bill </w:t>
      </w:r>
      <w:fldSimple w:instr="DOCPROPERTY &quot;Bill Number&quot;  \* MERGEFORMAT">
        <w:r>
          <w:t>&lt;Bill Number&gt;</w:t>
        </w:r>
      </w:fldSimple>
      <w:r>
        <w:t>-LC)</w:t>
      </w:r>
    </w:p>
    <w:p w14:paraId="06735D63" w14:textId="217A469A" w:rsidR="00B8192B" w:rsidRDefault="00B8192B" w:rsidP="00355A84">
      <w:pPr>
        <w:pStyle w:val="BillADBullet"/>
        <w:ind w:left="1494"/>
      </w:pPr>
      <w:r>
        <w:t xml:space="preserve">Explanatory Notes (SP Bill </w:t>
      </w:r>
      <w:fldSimple w:instr="DOCPROPERTY &quot;Bill Number&quot;  \* MERGEFORMAT">
        <w:r>
          <w:t>&lt;Bill Number&gt;</w:t>
        </w:r>
      </w:fldSimple>
      <w:r w:rsidRPr="00E40B8B">
        <w:t>-EN</w:t>
      </w:r>
      <w:proofErr w:type="gramStart"/>
      <w:r w:rsidRPr="00E40B8B">
        <w:t>)</w:t>
      </w:r>
      <w:r>
        <w:t>;</w:t>
      </w:r>
      <w:proofErr w:type="gramEnd"/>
    </w:p>
    <w:p w14:paraId="12D2403C" w14:textId="77777777" w:rsidR="00B8192B" w:rsidRDefault="00B8192B" w:rsidP="00355A84">
      <w:pPr>
        <w:pStyle w:val="BillADBullet"/>
        <w:ind w:left="1494"/>
      </w:pPr>
      <w:r>
        <w:t xml:space="preserve">a Policy Memorandum (SP Bill </w:t>
      </w:r>
      <w:fldSimple w:instr="DOCPROPERTY &quot;Bill Number&quot;  \* MERGEFORMAT">
        <w:r>
          <w:t>&lt;Bill Number&gt;</w:t>
        </w:r>
      </w:fldSimple>
      <w:r>
        <w:t>-PM</w:t>
      </w:r>
      <w:proofErr w:type="gramStart"/>
      <w:r>
        <w:t>);</w:t>
      </w:r>
      <w:proofErr w:type="gramEnd"/>
    </w:p>
    <w:p w14:paraId="26F70A27" w14:textId="77777777" w:rsidR="00C97BE5" w:rsidRDefault="00C97BE5" w:rsidP="00662639">
      <w:pPr>
        <w:pStyle w:val="BillADBullet"/>
        <w:spacing w:after="240"/>
        <w:ind w:left="1497"/>
      </w:pPr>
      <w:r>
        <w:t xml:space="preserve">a Delegated Powers Memorandum (SP Bill </w:t>
      </w:r>
      <w:fldSimple w:instr="DOCPROPERTY &quot;Bill Number&quot;  \* MERGEFORMAT">
        <w:r>
          <w:t>&lt;Bill Number&gt;</w:t>
        </w:r>
      </w:fldSimple>
      <w:r>
        <w:t>-DPM</w:t>
      </w:r>
      <w:proofErr w:type="gramStart"/>
      <w:r>
        <w:t>);</w:t>
      </w:r>
      <w:proofErr w:type="gramEnd"/>
    </w:p>
    <w:p w14:paraId="2263FE89" w14:textId="4D010282" w:rsidR="00952223" w:rsidRDefault="00836531" w:rsidP="00C950D7">
      <w:pPr>
        <w:pStyle w:val="BillADPara"/>
      </w:pPr>
      <w:r>
        <w:t>T</w:t>
      </w:r>
      <w:r w:rsidR="00952223">
        <w:t>his Financial Memorandum</w:t>
      </w:r>
      <w:r>
        <w:t xml:space="preserve"> has been prepared by the </w:t>
      </w:r>
      <w:r w:rsidR="00F6490A">
        <w:t>Non-Government Bills Unit on behalf of Douglas Ross MSP</w:t>
      </w:r>
      <w:r>
        <w:t xml:space="preserve"> </w:t>
      </w:r>
      <w:r w:rsidR="00952223">
        <w:t xml:space="preserve">to set out the costs associated with the </w:t>
      </w:r>
      <w:r>
        <w:t>measures introduced by the Bill. It does not form part of the Bill and has not been endorsed by the Parliament</w:t>
      </w:r>
      <w:r w:rsidR="00952223">
        <w:t>.</w:t>
      </w:r>
    </w:p>
    <w:p w14:paraId="3ACA0E04" w14:textId="2EDF4F32" w:rsidR="00F6490A" w:rsidRDefault="003758E5" w:rsidP="000D3F16">
      <w:pPr>
        <w:pStyle w:val="BillADHeading2"/>
      </w:pPr>
      <w:r>
        <w:t>background on the bill</w:t>
      </w:r>
      <w:r w:rsidR="00F6490A">
        <w:t xml:space="preserve"> </w:t>
      </w:r>
    </w:p>
    <w:p w14:paraId="7127ACBB" w14:textId="77777777" w:rsidR="00F94960" w:rsidRDefault="003974A6" w:rsidP="00C950D7">
      <w:pPr>
        <w:pStyle w:val="BillADPara"/>
      </w:pPr>
      <w:r>
        <w:t>The aim of the Right to Addiction Recovery (Scotland) Bill is to establish a right in law to treatment for addiction for anyone in Scotland who is addicted to alcohol and/or drugs. Douglas Ross MSP believes that a rights-based system, providing appropriate treatment without delay, and where the person seeking treatment feels informed</w:t>
      </w:r>
      <w:r w:rsidR="007E329E">
        <w:t xml:space="preserve"> and as involved as possible</w:t>
      </w:r>
      <w:r>
        <w:t xml:space="preserve"> </w:t>
      </w:r>
      <w:r w:rsidR="007E329E">
        <w:t>during the</w:t>
      </w:r>
      <w:r>
        <w:t xml:space="preserve"> decision</w:t>
      </w:r>
      <w:r w:rsidR="007E329E">
        <w:t>-making process</w:t>
      </w:r>
      <w:r>
        <w:t xml:space="preserve"> </w:t>
      </w:r>
      <w:r w:rsidR="007E329E">
        <w:t xml:space="preserve">to select </w:t>
      </w:r>
      <w:r>
        <w:t>their</w:t>
      </w:r>
      <w:r w:rsidR="007E329E">
        <w:t xml:space="preserve"> </w:t>
      </w:r>
      <w:proofErr w:type="gramStart"/>
      <w:r w:rsidR="007E329E">
        <w:t>particular</w:t>
      </w:r>
      <w:r>
        <w:t xml:space="preserve"> treatment</w:t>
      </w:r>
      <w:proofErr w:type="gramEnd"/>
      <w:r>
        <w:t xml:space="preserve">, would bring about progress urgently needed </w:t>
      </w:r>
      <w:r w:rsidR="007E329E">
        <w:t>for</w:t>
      </w:r>
      <w:r>
        <w:t xml:space="preserve"> </w:t>
      </w:r>
      <w:r w:rsidR="007E329E">
        <w:t xml:space="preserve">many of </w:t>
      </w:r>
      <w:r>
        <w:t>those across Scotland suffering from drugs or alcohol addiction.</w:t>
      </w:r>
    </w:p>
    <w:p w14:paraId="7796A0A8" w14:textId="77777777" w:rsidR="00F94960" w:rsidRDefault="003974A6" w:rsidP="00C950D7">
      <w:pPr>
        <w:pStyle w:val="BillADPara"/>
      </w:pPr>
      <w:r>
        <w:t>This  approach is intended to ensure that, where someone has been diagnosed with an addiction to alcohol and/or drugs: the individual seeking support is informed of the potential treatments that are available to them and then ca</w:t>
      </w:r>
      <w:r w:rsidR="006F2920">
        <w:t xml:space="preserve">n </w:t>
      </w:r>
      <w:r>
        <w:t>express a view on w</w:t>
      </w:r>
      <w:r w:rsidR="007E329E">
        <w:t xml:space="preserve">hich </w:t>
      </w:r>
      <w:r>
        <w:t xml:space="preserve">of them might be suitable for them; where the individual does not receive a referral for the treatment they have requested, or any treatment at all, they </w:t>
      </w:r>
      <w:r w:rsidR="006F2920">
        <w:t>will receive</w:t>
      </w:r>
      <w:r>
        <w:t xml:space="preserve"> a written explanation </w:t>
      </w:r>
      <w:r w:rsidR="00EF3F80">
        <w:t xml:space="preserve">from the health professional </w:t>
      </w:r>
      <w:r>
        <w:t>and</w:t>
      </w:r>
      <w:r w:rsidR="006F2920">
        <w:t xml:space="preserve"> have the right to</w:t>
      </w:r>
      <w:r>
        <w:t xml:space="preserve"> a second opinion. </w:t>
      </w:r>
    </w:p>
    <w:p w14:paraId="784E2CDB" w14:textId="77777777" w:rsidR="00F94960" w:rsidRDefault="003974A6" w:rsidP="00C950D7">
      <w:pPr>
        <w:pStyle w:val="BillADPara"/>
      </w:pPr>
      <w:r>
        <w:t>The Bill also establishes a</w:t>
      </w:r>
      <w:r w:rsidR="007E329E">
        <w:t xml:space="preserve"> maximum</w:t>
      </w:r>
      <w:r>
        <w:t xml:space="preserve"> timescale to begin treatment of, at most, three weeks after being prescribed </w:t>
      </w:r>
      <w:r w:rsidR="007E329E">
        <w:t>or referred for treatment.</w:t>
      </w:r>
      <w:r w:rsidR="00355A84">
        <w:t xml:space="preserve"> </w:t>
      </w:r>
    </w:p>
    <w:p w14:paraId="26E17FEA" w14:textId="1E410F7D" w:rsidR="00F94960" w:rsidRDefault="00355A84" w:rsidP="00C950D7">
      <w:pPr>
        <w:pStyle w:val="BillADPara"/>
      </w:pPr>
      <w:r w:rsidRPr="00094AB1">
        <w:rPr>
          <w:rStyle w:val="normaltextrun"/>
          <w:color w:val="000000"/>
        </w:rPr>
        <w:t>The Bill also gives an unqualified right to the treatment prescribed or that the patient is referred to.</w:t>
      </w:r>
      <w:r>
        <w:t xml:space="preserve"> The Member wants to put it beyond any doubt that the reasons in </w:t>
      </w:r>
      <w:r w:rsidR="00357BEF">
        <w:t>the</w:t>
      </w:r>
      <w:r w:rsidR="00357BEF">
        <w:t xml:space="preserve"> </w:t>
      </w:r>
      <w:r>
        <w:t>list</w:t>
      </w:r>
      <w:r w:rsidR="00357BEF">
        <w:t xml:space="preserve"> in section 3(2) of the Bill </w:t>
      </w:r>
      <w:r>
        <w:t>cannot be used as a basis for someone not to be provided with a treatment. These reasons include the cost of a treatment.</w:t>
      </w:r>
    </w:p>
    <w:p w14:paraId="0B1F25B0" w14:textId="77777777" w:rsidR="001F4C15" w:rsidRDefault="003974A6" w:rsidP="00C950D7">
      <w:pPr>
        <w:pStyle w:val="BillADPara"/>
      </w:pPr>
      <w:r>
        <w:t xml:space="preserve">The Member appreciates that being able to provide every person diagnosed with </w:t>
      </w:r>
      <w:r w:rsidR="007E329E">
        <w:t xml:space="preserve">appropriate </w:t>
      </w:r>
      <w:r>
        <w:t xml:space="preserve">treatment will be challenging to deliver given the availability of some treatments versus the level of need, and that </w:t>
      </w:r>
      <w:r w:rsidR="007E329E">
        <w:t xml:space="preserve">as a result </w:t>
      </w:r>
      <w:r>
        <w:t xml:space="preserve">this policy will require </w:t>
      </w:r>
      <w:r w:rsidR="006F2920">
        <w:t>an increase in service provision for some treatments.</w:t>
      </w:r>
      <w:r w:rsidR="007E329E">
        <w:t xml:space="preserve"> However, as set out below, ongoing current work towards a) delivering existing </w:t>
      </w:r>
      <w:r w:rsidR="00EF3F80">
        <w:t xml:space="preserve">Scottish </w:t>
      </w:r>
      <w:r w:rsidR="007E329E">
        <w:t xml:space="preserve">Government targets in relation to </w:t>
      </w:r>
      <w:r w:rsidR="004E427A">
        <w:t>three</w:t>
      </w:r>
      <w:r w:rsidR="00F94960">
        <w:t>-</w:t>
      </w:r>
      <w:r w:rsidR="007E329E">
        <w:t>week timescales for treatment and b) increasing service provision, such as increasing the number of publicly funded residential rehabilitation beds, should contribute to the required increase in service provision.</w:t>
      </w:r>
    </w:p>
    <w:p w14:paraId="767DEDA3" w14:textId="5CC9AB5E" w:rsidR="001F4C15" w:rsidRDefault="003974A6" w:rsidP="00C950D7">
      <w:pPr>
        <w:pStyle w:val="BillADPara"/>
      </w:pPr>
      <w:r>
        <w:t>The Bill will ensure that data is collected</w:t>
      </w:r>
      <w:r w:rsidR="006F2920">
        <w:t xml:space="preserve"> and published in an annual report to </w:t>
      </w:r>
      <w:r w:rsidR="00DA26E9">
        <w:t xml:space="preserve">the </w:t>
      </w:r>
      <w:r w:rsidR="006F2920">
        <w:t>Parliament.</w:t>
      </w:r>
      <w:r>
        <w:t xml:space="preserve"> The aim of this is to produce meaningful information on how the Bill, once enacted, is being implemented in practice.</w:t>
      </w:r>
      <w:r w:rsidR="007E329E">
        <w:t xml:space="preserve"> Some of the relevant datasets are already collated, and it is considered that drawing them together in the way required by the Bill</w:t>
      </w:r>
      <w:r>
        <w:t xml:space="preserve"> will allow the relevant decision makers to know precisely where the system is working and where it is not, enabling responsible bodies to work out what further actions are required to address these issues. This published information would also be open to scrutiny by the Parliament and the public as a means of holding the Scottish Government</w:t>
      </w:r>
      <w:r w:rsidR="00EF3F80">
        <w:t xml:space="preserve"> and other bodies</w:t>
      </w:r>
      <w:r>
        <w:t xml:space="preserve"> to account.</w:t>
      </w:r>
      <w:r w:rsidR="00D95788">
        <w:t xml:space="preserve"> </w:t>
      </w:r>
      <w:r w:rsidR="006F2920">
        <w:t xml:space="preserve">The Bill also requires a code of practice to be produced that details how </w:t>
      </w:r>
      <w:proofErr w:type="gramStart"/>
      <w:r w:rsidR="006F2920">
        <w:t>a number of</w:t>
      </w:r>
      <w:proofErr w:type="gramEnd"/>
      <w:r w:rsidR="006F2920">
        <w:t xml:space="preserve"> the provisions in the Bill should be delivered in practice.</w:t>
      </w:r>
    </w:p>
    <w:p w14:paraId="7BDBDE76" w14:textId="77777777" w:rsidR="001F4C15" w:rsidRDefault="0037615D" w:rsidP="00C950D7">
      <w:pPr>
        <w:pStyle w:val="BillADPara"/>
      </w:pPr>
      <w:r>
        <w:t xml:space="preserve">The </w:t>
      </w:r>
      <w:r w:rsidR="003974A6">
        <w:t>M</w:t>
      </w:r>
      <w:r>
        <w:t xml:space="preserve">ember anticipates that the implementation of the Bill will lead to an overall increase in the number of people being provided with treatment for drugs and/or alcohol. </w:t>
      </w:r>
      <w:r w:rsidR="00EF3F80">
        <w:t xml:space="preserve">For example, the Member anticipates, </w:t>
      </w:r>
      <w:proofErr w:type="gramStart"/>
      <w:r w:rsidR="00EF3F80">
        <w:t>as a result of</w:t>
      </w:r>
      <w:proofErr w:type="gramEnd"/>
      <w:r w:rsidR="00EF3F80">
        <w:t xml:space="preserve"> public awareness raising, that more individuals may come forward to seek diagnosis under the new approach should they become aware that there is increased availability of appropriate services and that they </w:t>
      </w:r>
      <w:r w:rsidR="00355A84">
        <w:t>can seek to</w:t>
      </w:r>
      <w:r w:rsidR="00EF3F80">
        <w:t xml:space="preserve"> receive access to these services. </w:t>
      </w:r>
      <w:r>
        <w:t xml:space="preserve">The </w:t>
      </w:r>
      <w:r w:rsidR="007E329E">
        <w:t>M</w:t>
      </w:r>
      <w:r>
        <w:t xml:space="preserve">ember also anticipates that the Bill’s implementation will lead to the treatments currently prescribed being provided to shorter timescales where people currently wait over </w:t>
      </w:r>
      <w:r w:rsidR="003974A6">
        <w:t>three</w:t>
      </w:r>
      <w:r>
        <w:t xml:space="preserve"> week</w:t>
      </w:r>
      <w:r w:rsidR="006F2920">
        <w:t>s</w:t>
      </w:r>
      <w:r>
        <w:t xml:space="preserve"> for treatment to commence.</w:t>
      </w:r>
    </w:p>
    <w:p w14:paraId="613F628D" w14:textId="77777777" w:rsidR="001F4C15" w:rsidRDefault="0037615D" w:rsidP="00C950D7">
      <w:pPr>
        <w:pStyle w:val="BillADPara"/>
      </w:pPr>
      <w:r>
        <w:t>In addition</w:t>
      </w:r>
      <w:r w:rsidR="00AE2B55">
        <w:t>,</w:t>
      </w:r>
      <w:r>
        <w:t xml:space="preserve"> he anticipates that there </w:t>
      </w:r>
      <w:r w:rsidR="006F2920">
        <w:t>may</w:t>
      </w:r>
      <w:r>
        <w:t xml:space="preserve"> be a cohort of people who </w:t>
      </w:r>
      <w:r w:rsidR="006F2920">
        <w:t>could</w:t>
      </w:r>
      <w:r>
        <w:t xml:space="preserve"> be prescribed </w:t>
      </w:r>
      <w:r w:rsidR="00EF3F80">
        <w:t xml:space="preserve">and provided with </w:t>
      </w:r>
      <w:r>
        <w:t>different</w:t>
      </w:r>
      <w:r w:rsidR="00EF3F80">
        <w:t>,</w:t>
      </w:r>
      <w:r>
        <w:t xml:space="preserve"> </w:t>
      </w:r>
      <w:r w:rsidR="007E329E">
        <w:t xml:space="preserve">more </w:t>
      </w:r>
      <w:proofErr w:type="gramStart"/>
      <w:r w:rsidR="007E329E">
        <w:t>appropriate</w:t>
      </w:r>
      <w:proofErr w:type="gramEnd"/>
      <w:r w:rsidR="00355A84">
        <w:t xml:space="preserve"> and therefore more effective</w:t>
      </w:r>
      <w:r w:rsidR="00EF3F80">
        <w:t>,</w:t>
      </w:r>
      <w:r w:rsidR="007E329E">
        <w:t xml:space="preserve"> </w:t>
      </w:r>
      <w:r>
        <w:t>treatments</w:t>
      </w:r>
      <w:r w:rsidR="007E329E">
        <w:t xml:space="preserve"> under the approach established in this Bill, compared to</w:t>
      </w:r>
      <w:r w:rsidR="006F2920">
        <w:t xml:space="preserve"> those </w:t>
      </w:r>
      <w:r w:rsidR="007E329E">
        <w:t xml:space="preserve">treatments </w:t>
      </w:r>
      <w:r w:rsidR="006F2920">
        <w:t>pr</w:t>
      </w:r>
      <w:r w:rsidR="00EF3F80">
        <w:t xml:space="preserve">ovided at present. </w:t>
      </w:r>
      <w:r w:rsidR="003D254E">
        <w:t>I</w:t>
      </w:r>
      <w:r w:rsidR="006F2920">
        <w:t xml:space="preserve">t is </w:t>
      </w:r>
      <w:r w:rsidR="007E329E">
        <w:t xml:space="preserve">also </w:t>
      </w:r>
      <w:r w:rsidR="006F2920">
        <w:t>hoped that</w:t>
      </w:r>
      <w:r w:rsidR="007E329E">
        <w:t xml:space="preserve"> a key cohort of</w:t>
      </w:r>
      <w:r w:rsidR="006F2920">
        <w:t xml:space="preserve"> people</w:t>
      </w:r>
      <w:r w:rsidR="007E329E">
        <w:t>, those who are currently referred for treatment but discharge themselves or are discharged by the treatment service before receiving treatment, will be able to complete a course of an appropriate treatment.</w:t>
      </w:r>
    </w:p>
    <w:p w14:paraId="478F8115" w14:textId="40FC009B" w:rsidR="001F4C15" w:rsidRDefault="006F2920" w:rsidP="00C950D7">
      <w:pPr>
        <w:pStyle w:val="BillADPara"/>
      </w:pPr>
      <w:r>
        <w:t>T</w:t>
      </w:r>
      <w:r w:rsidR="00F6490A">
        <w:t>he Bill will result in costs on the Scottish</w:t>
      </w:r>
      <w:r>
        <w:t xml:space="preserve"> Government</w:t>
      </w:r>
      <w:r w:rsidR="00F6490A">
        <w:t xml:space="preserve">, and </w:t>
      </w:r>
      <w:r>
        <w:t>key</w:t>
      </w:r>
      <w:r w:rsidR="00F6490A">
        <w:t xml:space="preserve"> bodies such as Health Boards</w:t>
      </w:r>
      <w:r w:rsidR="007E329E">
        <w:t xml:space="preserve"> and local authorities including through</w:t>
      </w:r>
      <w:r w:rsidR="009A6993">
        <w:t xml:space="preserve"> alcohol and drug partnerships (ADPs)</w:t>
      </w:r>
      <w:r w:rsidR="00F6490A">
        <w:t>.</w:t>
      </w:r>
      <w:r w:rsidR="0037615D">
        <w:t xml:space="preserve"> </w:t>
      </w:r>
      <w:r>
        <w:t>The main cost will be for the increase in treatment services for the reasons set out above</w:t>
      </w:r>
      <w:r w:rsidR="007E329E">
        <w:t xml:space="preserve"> including additional staff </w:t>
      </w:r>
      <w:proofErr w:type="gramStart"/>
      <w:r w:rsidR="007E329E">
        <w:t xml:space="preserve">time </w:t>
      </w:r>
      <w:r w:rsidR="00EF3F80">
        <w:t xml:space="preserve"> required</w:t>
      </w:r>
      <w:proofErr w:type="gramEnd"/>
      <w:r>
        <w:t>.</w:t>
      </w:r>
    </w:p>
    <w:p w14:paraId="0595423B" w14:textId="77777777" w:rsidR="001F4C15" w:rsidRDefault="007E329E" w:rsidP="00C950D7">
      <w:pPr>
        <w:pStyle w:val="BillADPara"/>
      </w:pPr>
      <w:r>
        <w:t>In terms of the process for referral for treatment, t</w:t>
      </w:r>
      <w:r w:rsidR="0037615D">
        <w:t>here will also be costs associated with the time required for health professionals</w:t>
      </w:r>
      <w:r w:rsidR="00EF3F80">
        <w:t>:</w:t>
      </w:r>
      <w:r w:rsidR="0037615D">
        <w:t xml:space="preserve"> to </w:t>
      </w:r>
      <w:r w:rsidR="00EF3F80">
        <w:t xml:space="preserve">train on the new approach under the Bill; to </w:t>
      </w:r>
      <w:r w:rsidR="0037615D">
        <w:t xml:space="preserve">set </w:t>
      </w:r>
      <w:r w:rsidR="003D254E">
        <w:t xml:space="preserve">out </w:t>
      </w:r>
      <w:r w:rsidR="0037615D">
        <w:t xml:space="preserve">the basis for some of their treatment </w:t>
      </w:r>
      <w:r w:rsidR="003D254E">
        <w:t xml:space="preserve">referral </w:t>
      </w:r>
      <w:r w:rsidR="0037615D">
        <w:t>decisions out in writing</w:t>
      </w:r>
      <w:r w:rsidR="00EF3F80">
        <w:t>;</w:t>
      </w:r>
      <w:r>
        <w:t xml:space="preserve"> and </w:t>
      </w:r>
      <w:r w:rsidR="0037615D">
        <w:t>t</w:t>
      </w:r>
      <w:r w:rsidR="00EF3F80">
        <w:t>o</w:t>
      </w:r>
      <w:r w:rsidR="0037615D">
        <w:t xml:space="preserve"> provi</w:t>
      </w:r>
      <w:r w:rsidR="00EF3F80">
        <w:t>de</w:t>
      </w:r>
      <w:r w:rsidR="0037615D">
        <w:t xml:space="preserve"> a second opinion </w:t>
      </w:r>
      <w:r w:rsidR="00EF3F80">
        <w:t>where required</w:t>
      </w:r>
      <w:r w:rsidR="0037615D">
        <w:t>.</w:t>
      </w:r>
    </w:p>
    <w:p w14:paraId="78EEBF33" w14:textId="77777777" w:rsidR="001F4C15" w:rsidRDefault="006F2920" w:rsidP="00C950D7">
      <w:pPr>
        <w:pStyle w:val="BillADPara"/>
      </w:pPr>
      <w:r>
        <w:t>In addition</w:t>
      </w:r>
      <w:r w:rsidR="00C978AC">
        <w:t>, there would be administrative</w:t>
      </w:r>
      <w:r w:rsidR="00180AD0">
        <w:t xml:space="preserve"> and publication</w:t>
      </w:r>
      <w:r w:rsidR="00C978AC">
        <w:t xml:space="preserve"> costs arising from the requirement to </w:t>
      </w:r>
      <w:r w:rsidR="0037615D">
        <w:t>prepare and publish an annual report</w:t>
      </w:r>
      <w:r w:rsidR="007E329E">
        <w:t xml:space="preserve"> (and to consult on its contents in advance, including with those with lived experience)</w:t>
      </w:r>
      <w:r w:rsidR="00EF3F80">
        <w:t>. There would also be costs associated with the preparation</w:t>
      </w:r>
      <w:r w:rsidR="0037615D">
        <w:t>,</w:t>
      </w:r>
      <w:r w:rsidR="00180AD0">
        <w:t xml:space="preserve"> and</w:t>
      </w:r>
      <w:r w:rsidR="00EF3F80">
        <w:t xml:space="preserve"> occasional</w:t>
      </w:r>
      <w:r w:rsidR="00180AD0">
        <w:t xml:space="preserve"> update</w:t>
      </w:r>
      <w:r w:rsidR="00EF3F80">
        <w:t>s</w:t>
      </w:r>
      <w:r w:rsidR="0037615D">
        <w:t>,</w:t>
      </w:r>
      <w:r w:rsidR="00EF3F80">
        <w:t xml:space="preserve"> of</w:t>
      </w:r>
      <w:r w:rsidR="00C978AC">
        <w:t xml:space="preserve"> the code of practice.</w:t>
      </w:r>
    </w:p>
    <w:p w14:paraId="73141E6B" w14:textId="77777777" w:rsidR="001F4C15" w:rsidRDefault="007E329E" w:rsidP="00C950D7">
      <w:pPr>
        <w:pStyle w:val="BillADPara"/>
      </w:pPr>
      <w:r>
        <w:t>In the longer term, t</w:t>
      </w:r>
      <w:r w:rsidR="00F708CE">
        <w:t xml:space="preserve">he </w:t>
      </w:r>
      <w:r w:rsidR="00AE2B55">
        <w:t>M</w:t>
      </w:r>
      <w:r w:rsidR="00F708CE">
        <w:t xml:space="preserve">ember anticipates significant savings </w:t>
      </w:r>
      <w:r>
        <w:t xml:space="preserve">including </w:t>
      </w:r>
      <w:r w:rsidR="00F708CE">
        <w:t>from reduced demands on health, prison, law enforcement and emergency services a</w:t>
      </w:r>
      <w:r w:rsidR="006F2920">
        <w:t>nd from numerous</w:t>
      </w:r>
      <w:r w:rsidR="00F708CE">
        <w:t xml:space="preserve"> other wider societal benefits.</w:t>
      </w:r>
    </w:p>
    <w:p w14:paraId="613B4736" w14:textId="3FE9454B" w:rsidR="004B1A81" w:rsidRDefault="004B1A81" w:rsidP="00C950D7">
      <w:pPr>
        <w:pStyle w:val="BillADPara"/>
      </w:pPr>
      <w:r>
        <w:t>To inform the Financial Memorandum, NGBU wrote to selected health boards, and other stakeholders such as Turning Point Scotland. NHS</w:t>
      </w:r>
      <w:r w:rsidR="00355A84">
        <w:t xml:space="preserve"> </w:t>
      </w:r>
      <w:r>
        <w:t xml:space="preserve">Greater Glasgow and Clyde, NHS Highland, NHS </w:t>
      </w:r>
      <w:proofErr w:type="gramStart"/>
      <w:r>
        <w:t>Tayside</w:t>
      </w:r>
      <w:proofErr w:type="gramEnd"/>
      <w:r>
        <w:t xml:space="preserve"> and Turning Point Scotland responded, providing background information</w:t>
      </w:r>
      <w:r w:rsidR="00355A84">
        <w:t>. The Member thanks them for their contributions</w:t>
      </w:r>
      <w:r>
        <w:t xml:space="preserve"> which ha</w:t>
      </w:r>
      <w:r w:rsidR="00355A84">
        <w:t>ve</w:t>
      </w:r>
      <w:r>
        <w:t xml:space="preserve"> </w:t>
      </w:r>
      <w:r w:rsidR="001C2271">
        <w:t>provided</w:t>
      </w:r>
      <w:r>
        <w:t xml:space="preserve"> valuable context in preparing this Financial Memorandum.</w:t>
      </w:r>
    </w:p>
    <w:p w14:paraId="16913BC3" w14:textId="4E4B71C3" w:rsidR="00BE2616" w:rsidRPr="00064BFC" w:rsidRDefault="003758E5" w:rsidP="00064BFC">
      <w:pPr>
        <w:pStyle w:val="BillADAdditionalHeading1"/>
      </w:pPr>
      <w:r w:rsidRPr="00064BFC">
        <w:t>METHODOLOGY</w:t>
      </w:r>
    </w:p>
    <w:p w14:paraId="5AEE7CCC" w14:textId="6303445F" w:rsidR="00BE2616" w:rsidRDefault="003758E5" w:rsidP="00C950D7">
      <w:pPr>
        <w:pStyle w:val="BillADPara"/>
      </w:pPr>
      <w:r>
        <w:t>The following section sets out existing data sources to base calculations on the costs of the Bill upon. These figures form the basis of calculations on the cost of increased service provision later in this document. As context, t</w:t>
      </w:r>
      <w:r w:rsidR="00BE2616">
        <w:t xml:space="preserve">he Audit Scotland briefing paper, </w:t>
      </w:r>
      <w:r w:rsidR="00BE2616" w:rsidRPr="00094AB1">
        <w:rPr>
          <w:i/>
          <w:iCs/>
        </w:rPr>
        <w:t>Drug and Alcohol Services: An update</w:t>
      </w:r>
      <w:r w:rsidR="00BE2616">
        <w:t xml:space="preserve">, published in March 2022 states that: </w:t>
      </w:r>
    </w:p>
    <w:p w14:paraId="165DA863" w14:textId="60C7F904" w:rsidR="0037615D" w:rsidRDefault="0037615D" w:rsidP="00662639">
      <w:pPr>
        <w:pStyle w:val="BillADQuotedText"/>
      </w:pPr>
      <w:r>
        <w:t xml:space="preserve">“In our 2009 report, we highlighted that funding arrangements for drug and alcohol services were complex and fragmented which made strategic planning difficult. It is still difficult to track spending and how it is being distributed and monitored. The Scottish Government does not publish a full breakdown of all funding in one place and information is incomplete, </w:t>
      </w:r>
      <w:proofErr w:type="gramStart"/>
      <w:r>
        <w:t>disparate</w:t>
      </w:r>
      <w:proofErr w:type="gramEnd"/>
      <w:r>
        <w:t xml:space="preserve"> and presented inconsistently.”</w:t>
      </w:r>
      <w:r>
        <w:rPr>
          <w:rStyle w:val="FootnoteReference"/>
        </w:rPr>
        <w:footnoteReference w:id="2"/>
      </w:r>
    </w:p>
    <w:p w14:paraId="347B2661" w14:textId="45AFD5B8" w:rsidR="00C1463F" w:rsidRDefault="007C54DA" w:rsidP="00C950D7">
      <w:pPr>
        <w:pStyle w:val="BillADPara"/>
      </w:pPr>
      <w:r>
        <w:t xml:space="preserve">As </w:t>
      </w:r>
      <w:r w:rsidR="007E329E">
        <w:t>described</w:t>
      </w:r>
      <w:r>
        <w:t xml:space="preserve"> by Audit Scotland, m</w:t>
      </w:r>
      <w:r w:rsidR="00180AD0">
        <w:t xml:space="preserve">apping existing costs and funding arrangements for alcohol and drug treatment is challenging, </w:t>
      </w:r>
      <w:r>
        <w:t>this is in part due to the number of different policy initiatives and associated funding streams.</w:t>
      </w:r>
      <w:r w:rsidR="0037615D">
        <w:t xml:space="preserve"> </w:t>
      </w:r>
      <w:r>
        <w:t>It is also challenging to</w:t>
      </w:r>
      <w:r w:rsidR="0037615D">
        <w:t xml:space="preserve"> </w:t>
      </w:r>
      <w:r w:rsidR="007E329E">
        <w:t>track</w:t>
      </w:r>
      <w:r w:rsidR="0037615D">
        <w:t xml:space="preserve"> the number of people diagnosed each year with an addiction to drugs and/or alcohol</w:t>
      </w:r>
      <w:r>
        <w:t xml:space="preserve"> </w:t>
      </w:r>
      <w:r w:rsidR="007E329E">
        <w:t>through to</w:t>
      </w:r>
      <w:r>
        <w:t xml:space="preserve"> the types of treatment they</w:t>
      </w:r>
      <w:r w:rsidR="007E329E">
        <w:t xml:space="preserve"> do, or do not,</w:t>
      </w:r>
      <w:r>
        <w:t xml:space="preserve"> go on to receive</w:t>
      </w:r>
      <w:r w:rsidR="0037615D">
        <w:t>. The</w:t>
      </w:r>
      <w:r>
        <w:t xml:space="preserve"> </w:t>
      </w:r>
      <w:r w:rsidR="0037615D">
        <w:t>existing landscape in respect of treatment</w:t>
      </w:r>
      <w:r w:rsidR="007E329E">
        <w:t xml:space="preserve"> provision</w:t>
      </w:r>
      <w:r>
        <w:t xml:space="preserve"> is</w:t>
      </w:r>
      <w:r w:rsidR="007E329E">
        <w:t xml:space="preserve"> also</w:t>
      </w:r>
      <w:r>
        <w:t xml:space="preserve"> complex</w:t>
      </w:r>
      <w:r w:rsidR="007E329E">
        <w:t xml:space="preserve"> and changing</w:t>
      </w:r>
      <w:r>
        <w:t xml:space="preserve">, including publicly funded services being provided in the third sector and private sector. This makes establishing existing levels of service provision challenging </w:t>
      </w:r>
      <w:proofErr w:type="gramStart"/>
      <w:r>
        <w:t>and also</w:t>
      </w:r>
      <w:proofErr w:type="gramEnd"/>
      <w:r>
        <w:t xml:space="preserve"> it makes it challenging to establish progress towards </w:t>
      </w:r>
      <w:r w:rsidR="00E72D36">
        <w:t xml:space="preserve">relevant </w:t>
      </w:r>
      <w:r>
        <w:t xml:space="preserve">existing </w:t>
      </w:r>
      <w:r w:rsidR="007E329E">
        <w:t xml:space="preserve">Scottish </w:t>
      </w:r>
      <w:r>
        <w:t>Government commitments</w:t>
      </w:r>
      <w:r w:rsidR="00E72D36">
        <w:t>. This includes the commitment to</w:t>
      </w:r>
      <w:r>
        <w:t xml:space="preserve"> increas</w:t>
      </w:r>
      <w:r w:rsidR="00E72D36">
        <w:t>e</w:t>
      </w:r>
      <w:r>
        <w:t xml:space="preserve"> the number of </w:t>
      </w:r>
      <w:r w:rsidR="00E72D36">
        <w:t xml:space="preserve">publicly funded </w:t>
      </w:r>
      <w:r>
        <w:t>residential rehabilitation beds</w:t>
      </w:r>
      <w:r w:rsidR="00E72D36">
        <w:t xml:space="preserve"> to 650</w:t>
      </w:r>
      <w:r>
        <w:t xml:space="preserve"> by the end of this </w:t>
      </w:r>
      <w:r w:rsidR="00DA26E9">
        <w:t>p</w:t>
      </w:r>
      <w:r>
        <w:t xml:space="preserve">arliamentary session </w:t>
      </w:r>
      <w:r w:rsidR="007E329E">
        <w:t>(</w:t>
      </w:r>
      <w:r w:rsidR="00E72D36">
        <w:t>March</w:t>
      </w:r>
      <w:r>
        <w:t xml:space="preserve"> 2026</w:t>
      </w:r>
      <w:r w:rsidR="007E329E">
        <w:t>)</w:t>
      </w:r>
      <w:r>
        <w:t>.</w:t>
      </w:r>
    </w:p>
    <w:p w14:paraId="30CB3503" w14:textId="67D05153" w:rsidR="001A4DDF" w:rsidRPr="001A4DDF" w:rsidRDefault="003D254E" w:rsidP="00064BFC">
      <w:pPr>
        <w:pStyle w:val="BillADAdditionalHeading1"/>
      </w:pPr>
      <w:r>
        <w:t>F</w:t>
      </w:r>
      <w:r w:rsidR="001A4DDF">
        <w:t>unding</w:t>
      </w:r>
    </w:p>
    <w:p w14:paraId="7FE7848D" w14:textId="7DE3702A" w:rsidR="00BA6B4D" w:rsidRDefault="004C2011" w:rsidP="00C950D7">
      <w:pPr>
        <w:pStyle w:val="BillADPara"/>
      </w:pPr>
      <w:r>
        <w:t>The National Mission on Drugs Annual Report 2022-2023 states that the total funding allocated for alcohol and drugs in 2022-23 was £141,885,000 (£141.9 million).</w:t>
      </w:r>
      <w:r>
        <w:rPr>
          <w:rStyle w:val="FootnoteReference"/>
        </w:rPr>
        <w:footnoteReference w:id="3"/>
      </w:r>
      <w:r w:rsidR="00EE530C">
        <w:t xml:space="preserve"> </w:t>
      </w:r>
      <w:r w:rsidR="00BA6B4D">
        <w:t>This was broken down into the main funding channels as follows</w:t>
      </w:r>
      <w:r w:rsidR="00EA14C2">
        <w:rPr>
          <w:rStyle w:val="FootnoteReference"/>
        </w:rPr>
        <w:footnoteReference w:id="4"/>
      </w:r>
      <w:r w:rsidR="00BA6B4D">
        <w:t>:</w:t>
      </w:r>
    </w:p>
    <w:p w14:paraId="46882A53" w14:textId="7F109986" w:rsidR="00BA6B4D" w:rsidRPr="00BA6B4D" w:rsidRDefault="00BA6B4D" w:rsidP="00662639">
      <w:pPr>
        <w:pStyle w:val="BillADBullet"/>
        <w:spacing w:after="0"/>
      </w:pPr>
      <w:r w:rsidRPr="00BA6B4D">
        <w:t>Health Board baseline - 56,490 </w:t>
      </w:r>
      <w:r w:rsidRPr="00BA6B4D">
        <w:rPr>
          <w:rStyle w:val="calign"/>
          <w:color w:val="333333"/>
          <w:szCs w:val="24"/>
        </w:rPr>
        <w:t>(£000’s)</w:t>
      </w:r>
      <w:r w:rsidRPr="00BA6B4D">
        <w:t xml:space="preserve"> - </w:t>
      </w:r>
      <w:proofErr w:type="gramStart"/>
      <w:r w:rsidRPr="00BA6B4D">
        <w:t>40%</w:t>
      </w:r>
      <w:r w:rsidR="00EA14C2">
        <w:t>;</w:t>
      </w:r>
      <w:proofErr w:type="gramEnd"/>
    </w:p>
    <w:p w14:paraId="70CC7CDA" w14:textId="6513BB10" w:rsidR="00BA6B4D" w:rsidRPr="00BA6B4D" w:rsidRDefault="00BA6B4D" w:rsidP="00662639">
      <w:pPr>
        <w:pStyle w:val="BillADBullet"/>
        <w:spacing w:after="0"/>
      </w:pPr>
      <w:r w:rsidRPr="51B3EEBA">
        <w:rPr>
          <w:rStyle w:val="lalign"/>
          <w:color w:val="333333"/>
        </w:rPr>
        <w:t>Additional ADP funding</w:t>
      </w:r>
      <w:r w:rsidRPr="51B3EEBA">
        <w:t> - 50,300 </w:t>
      </w:r>
      <w:r w:rsidRPr="51B3EEBA">
        <w:rPr>
          <w:rStyle w:val="calign"/>
          <w:color w:val="333333"/>
        </w:rPr>
        <w:t>(£000’s)</w:t>
      </w:r>
      <w:r w:rsidRPr="51B3EEBA">
        <w:t xml:space="preserve"> - </w:t>
      </w:r>
      <w:proofErr w:type="gramStart"/>
      <w:r w:rsidRPr="51B3EEBA">
        <w:t>35%</w:t>
      </w:r>
      <w:r w:rsidR="00EA14C2">
        <w:t>;</w:t>
      </w:r>
      <w:proofErr w:type="gramEnd"/>
      <w:r w:rsidR="00EA14C2">
        <w:t xml:space="preserve"> </w:t>
      </w:r>
    </w:p>
    <w:p w14:paraId="6FDEBB11" w14:textId="1262C1ED" w:rsidR="00BA6B4D" w:rsidRPr="00BA6B4D" w:rsidRDefault="00BA6B4D" w:rsidP="00662639">
      <w:pPr>
        <w:pStyle w:val="BillADBullet"/>
        <w:spacing w:after="0"/>
        <w:rPr>
          <w:szCs w:val="24"/>
        </w:rPr>
      </w:pPr>
      <w:r w:rsidRPr="00BA6B4D">
        <w:rPr>
          <w:rStyle w:val="lalign"/>
          <w:color w:val="333333"/>
          <w:szCs w:val="24"/>
        </w:rPr>
        <w:t xml:space="preserve">Grants via </w:t>
      </w:r>
      <w:proofErr w:type="spellStart"/>
      <w:r w:rsidRPr="00BA6B4D">
        <w:rPr>
          <w:rStyle w:val="lalign"/>
          <w:color w:val="333333"/>
          <w:szCs w:val="24"/>
        </w:rPr>
        <w:t>Corra</w:t>
      </w:r>
      <w:proofErr w:type="spellEnd"/>
      <w:r w:rsidRPr="00BA6B4D">
        <w:rPr>
          <w:rStyle w:val="lalign"/>
          <w:color w:val="333333"/>
          <w:szCs w:val="24"/>
        </w:rPr>
        <w:t> </w:t>
      </w:r>
      <w:r w:rsidR="00E72D36">
        <w:rPr>
          <w:rStyle w:val="lalign"/>
          <w:color w:val="333333"/>
          <w:szCs w:val="24"/>
        </w:rPr>
        <w:t xml:space="preserve">Foundation </w:t>
      </w:r>
      <w:r w:rsidRPr="00BA6B4D">
        <w:rPr>
          <w:szCs w:val="24"/>
        </w:rPr>
        <w:t>- 13,000 </w:t>
      </w:r>
      <w:r w:rsidRPr="00BA6B4D">
        <w:rPr>
          <w:rStyle w:val="calign"/>
          <w:color w:val="333333"/>
          <w:szCs w:val="24"/>
        </w:rPr>
        <w:t>(£000’s)</w:t>
      </w:r>
      <w:r w:rsidRPr="00BA6B4D">
        <w:rPr>
          <w:szCs w:val="24"/>
        </w:rPr>
        <w:t> - 9%</w:t>
      </w:r>
    </w:p>
    <w:p w14:paraId="4EBB6F64" w14:textId="654AC225" w:rsidR="00BA6B4D" w:rsidRPr="00BA6B4D" w:rsidRDefault="00BA6B4D" w:rsidP="00662639">
      <w:pPr>
        <w:pStyle w:val="BillADBullet"/>
        <w:spacing w:after="0"/>
      </w:pPr>
      <w:r w:rsidRPr="51B3EEBA">
        <w:rPr>
          <w:rStyle w:val="lalign"/>
          <w:color w:val="333333"/>
        </w:rPr>
        <w:t>S</w:t>
      </w:r>
      <w:r w:rsidR="00E72D36" w:rsidRPr="51B3EEBA">
        <w:rPr>
          <w:rStyle w:val="lalign"/>
          <w:color w:val="333333"/>
        </w:rPr>
        <w:t xml:space="preserve">cottish </w:t>
      </w:r>
      <w:r w:rsidRPr="51B3EEBA">
        <w:rPr>
          <w:rStyle w:val="lalign"/>
          <w:color w:val="333333"/>
        </w:rPr>
        <w:t>G</w:t>
      </w:r>
      <w:r w:rsidR="00E72D36" w:rsidRPr="51B3EEBA">
        <w:rPr>
          <w:rStyle w:val="lalign"/>
          <w:color w:val="333333"/>
        </w:rPr>
        <w:t>overnment</w:t>
      </w:r>
      <w:r w:rsidRPr="51B3EEBA">
        <w:rPr>
          <w:rStyle w:val="lalign"/>
          <w:color w:val="333333"/>
        </w:rPr>
        <w:t> Managed </w:t>
      </w:r>
      <w:r w:rsidRPr="51B3EEBA">
        <w:t>- 18,895 </w:t>
      </w:r>
      <w:r w:rsidRPr="51B3EEBA">
        <w:rPr>
          <w:rStyle w:val="calign"/>
          <w:color w:val="333333"/>
        </w:rPr>
        <w:t>(£000’s)</w:t>
      </w:r>
      <w:r w:rsidRPr="51B3EEBA">
        <w:t> - 13%</w:t>
      </w:r>
    </w:p>
    <w:p w14:paraId="259BAD06" w14:textId="01151BC9" w:rsidR="001F4C15" w:rsidRDefault="00BA6B4D" w:rsidP="00460D58">
      <w:pPr>
        <w:pStyle w:val="BillADBullet"/>
        <w:spacing w:after="240"/>
        <w:rPr>
          <w:rStyle w:val="calign"/>
          <w:color w:val="333333"/>
        </w:rPr>
      </w:pPr>
      <w:r w:rsidRPr="51B3EEBA">
        <w:rPr>
          <w:rStyle w:val="Strong"/>
          <w:b w:val="0"/>
          <w:color w:val="333333"/>
        </w:rPr>
        <w:t>Total - 141,885</w:t>
      </w:r>
      <w:r w:rsidRPr="51B3EEBA">
        <w:t> </w:t>
      </w:r>
      <w:r w:rsidRPr="51B3EEBA">
        <w:rPr>
          <w:rStyle w:val="calign"/>
          <w:color w:val="333333"/>
        </w:rPr>
        <w:t>(£000’s)</w:t>
      </w:r>
      <w:r w:rsidRPr="51B3EEBA">
        <w:rPr>
          <w:rStyle w:val="FootnoteReference"/>
          <w:color w:val="333333"/>
        </w:rPr>
        <w:footnoteReference w:id="5"/>
      </w:r>
      <w:r w:rsidR="00662639">
        <w:rPr>
          <w:rStyle w:val="calign"/>
          <w:color w:val="333333"/>
        </w:rPr>
        <w:t>.</w:t>
      </w:r>
    </w:p>
    <w:p w14:paraId="362178C1" w14:textId="77777777" w:rsidR="001F4C15" w:rsidRDefault="001F4C15" w:rsidP="00C950D7">
      <w:pPr>
        <w:pStyle w:val="BillADPara"/>
      </w:pPr>
      <w:r>
        <w:t xml:space="preserve">The </w:t>
      </w:r>
      <w:r w:rsidR="004C2011">
        <w:t>Scottish Government stated in its 2023-24 Budget document</w:t>
      </w:r>
      <w:r w:rsidR="00D16EA5">
        <w:rPr>
          <w:rStyle w:val="FootnoteReference"/>
        </w:rPr>
        <w:footnoteReference w:id="6"/>
      </w:r>
      <w:r w:rsidR="004C2011">
        <w:t>:</w:t>
      </w:r>
      <w:r w:rsidR="00BA6B4D">
        <w:t xml:space="preserve"> </w:t>
      </w:r>
      <w:r w:rsidR="00BA6B4D" w:rsidRPr="00BA6B4D">
        <w:t>“Our National Mission on drugs is supported this year by increased investment to £160 million, to reduce the avoidable harms associated with drugs and alcohol.”</w:t>
      </w:r>
      <w:r w:rsidR="004C2011" w:rsidRPr="00BA6B4D">
        <w:rPr>
          <w:rStyle w:val="FootnoteReference"/>
        </w:rPr>
        <w:footnoteReference w:id="7"/>
      </w:r>
    </w:p>
    <w:p w14:paraId="43408E6A" w14:textId="05A6DE05" w:rsidR="007C54DA" w:rsidRDefault="00BA6B4D" w:rsidP="00C950D7">
      <w:pPr>
        <w:pStyle w:val="BillADPara"/>
      </w:pPr>
      <w:r>
        <w:t>Detailing</w:t>
      </w:r>
      <w:r w:rsidR="007C54DA">
        <w:t xml:space="preserve"> the 2024-</w:t>
      </w:r>
      <w:r w:rsidR="00DA26E9">
        <w:t>2</w:t>
      </w:r>
      <w:r w:rsidR="007C54DA">
        <w:t xml:space="preserve">5 Budget, </w:t>
      </w:r>
      <w:r>
        <w:t xml:space="preserve">and explaining the budget increase between 2022-23 allocations and the 2023-24 allocation, </w:t>
      </w:r>
      <w:r w:rsidR="007C54DA">
        <w:t xml:space="preserve">the then Minister for Drugs and Alcohol Policy, Elena Whitham MSP stated that: </w:t>
      </w:r>
    </w:p>
    <w:p w14:paraId="24E2FD66" w14:textId="0F4333D4" w:rsidR="00D45BA0" w:rsidRDefault="007C54DA" w:rsidP="005A5042">
      <w:pPr>
        <w:pStyle w:val="BillADQuotedText"/>
      </w:pPr>
      <w:r>
        <w:t xml:space="preserve">“The 2024-25 alcohol and drugs budget has remained the same as that for 2023-24. The minor change seen in the published 2024-25 budget is not a proposed budget spend increase; rather, it shows funding being formally baselined into the alcohol and drugs budget line. </w:t>
      </w:r>
      <w:r w:rsidRPr="00BA6B4D">
        <w:t xml:space="preserve">The £13.6 </w:t>
      </w:r>
      <w:r w:rsidRPr="005A5042">
        <w:t>million</w:t>
      </w:r>
      <w:r w:rsidRPr="00BA6B4D">
        <w:t xml:space="preserve"> budget increase from 2022-23 to 2023-24 includes an additional £12 million to deliver the cross-Government plan, which was published in January 2023.</w:t>
      </w:r>
      <w:r>
        <w:t xml:space="preserve"> The remaining £1.6 million increase covers portfolio operating costs for drug and alcohol staff, the funding for which was previously held centrally. Funding for drugs policy has increased by 67 per cent in real terms from 2014-15 to 2023-24, according to Audit Scotland figures published in 2022.”</w:t>
      </w:r>
      <w:r>
        <w:rPr>
          <w:rStyle w:val="FootnoteReference"/>
        </w:rPr>
        <w:footnoteReference w:id="8"/>
      </w:r>
    </w:p>
    <w:p w14:paraId="20281034" w14:textId="047F271B" w:rsidR="00BA6B4D" w:rsidRDefault="00E72D36" w:rsidP="00C950D7">
      <w:pPr>
        <w:pStyle w:val="BillADPara"/>
      </w:pPr>
      <w:r>
        <w:t>C</w:t>
      </w:r>
      <w:r w:rsidR="00BA6B4D">
        <w:t>alculations later in this Memorandum use the figure of £160 million as the 2024-25 budget.</w:t>
      </w:r>
    </w:p>
    <w:p w14:paraId="17624C2E" w14:textId="3AA7179F" w:rsidR="00952F2B" w:rsidRDefault="00EE530C" w:rsidP="00064BFC">
      <w:pPr>
        <w:pStyle w:val="BillADAdditionalHeading1"/>
      </w:pPr>
      <w:r>
        <w:t xml:space="preserve">Drug and alcohol assessment, </w:t>
      </w:r>
      <w:proofErr w:type="gramStart"/>
      <w:r>
        <w:t>referral</w:t>
      </w:r>
      <w:proofErr w:type="gramEnd"/>
      <w:r>
        <w:t xml:space="preserve"> and treatment</w:t>
      </w:r>
    </w:p>
    <w:p w14:paraId="29EE62E3" w14:textId="1B94FCBB" w:rsidR="00A019EC" w:rsidRPr="00A019EC" w:rsidRDefault="00A019EC" w:rsidP="00D95788">
      <w:pPr>
        <w:pStyle w:val="BillADHeading3"/>
      </w:pPr>
      <w:r>
        <w:t>Drugs</w:t>
      </w:r>
    </w:p>
    <w:p w14:paraId="06A3A29C" w14:textId="77777777" w:rsidR="006555E5" w:rsidRDefault="00970CA0" w:rsidP="00C950D7">
      <w:pPr>
        <w:pStyle w:val="BillADPara"/>
      </w:pPr>
      <w:r w:rsidRPr="0078254A">
        <w:t>According to the 2022 census, the population of Scotland is 5.4 million. Of those, just over 1 million are under the age of 18</w:t>
      </w:r>
      <w:r w:rsidRPr="0078254A">
        <w:rPr>
          <w:rStyle w:val="FootnoteReference"/>
        </w:rPr>
        <w:footnoteReference w:id="9"/>
      </w:r>
      <w:r w:rsidRPr="0078254A">
        <w:t xml:space="preserve"> and 832,000 people are under 15</w:t>
      </w:r>
      <w:r w:rsidR="00B50E9D">
        <w:t>.</w:t>
      </w:r>
      <w:r w:rsidRPr="0078254A">
        <w:rPr>
          <w:rStyle w:val="FootnoteReference"/>
        </w:rPr>
        <w:footnoteReference w:id="10"/>
      </w:r>
      <w:r w:rsidR="00B50E9D">
        <w:t xml:space="preserve"> </w:t>
      </w:r>
      <w:r w:rsidR="00952F2B">
        <w:t>According to</w:t>
      </w:r>
      <w:r>
        <w:t xml:space="preserve"> </w:t>
      </w:r>
      <w:r w:rsidR="008668F8">
        <w:t xml:space="preserve">estimates from Public Health Scotland, </w:t>
      </w:r>
      <w:r w:rsidR="00952F2B">
        <w:rPr>
          <w:rStyle w:val="FootnoteReference"/>
        </w:rPr>
        <w:footnoteReference w:id="11"/>
      </w:r>
      <w:r w:rsidR="00952F2B">
        <w:t xml:space="preserve"> the</w:t>
      </w:r>
      <w:r w:rsidR="00952F2B" w:rsidRPr="009C4717">
        <w:t xml:space="preserve"> number of individuals with problem drug use in Scotland </w:t>
      </w:r>
      <w:r w:rsidR="00952F2B">
        <w:t xml:space="preserve">is </w:t>
      </w:r>
      <w:r w:rsidR="00952F2B" w:rsidRPr="00A118E9">
        <w:t>57,300</w:t>
      </w:r>
      <w:r w:rsidR="00952F2B" w:rsidRPr="009C4717">
        <w:t xml:space="preserve"> </w:t>
      </w:r>
      <w:r w:rsidR="00A118E9">
        <w:t>–</w:t>
      </w:r>
      <w:r w:rsidR="00952F2B" w:rsidRPr="009C4717">
        <w:t xml:space="preserve"> </w:t>
      </w:r>
      <w:r w:rsidR="00A118E9">
        <w:t xml:space="preserve">which would constitute </w:t>
      </w:r>
      <w:r w:rsidR="00952F2B" w:rsidRPr="009C4717">
        <w:t xml:space="preserve">almost 1 in 60 of </w:t>
      </w:r>
      <w:r w:rsidR="00952F2B">
        <w:t>the</w:t>
      </w:r>
      <w:r w:rsidR="00952F2B" w:rsidRPr="009C4717">
        <w:t xml:space="preserve"> population aged between 15 and 64</w:t>
      </w:r>
      <w:r w:rsidR="00952F2B">
        <w:t>.</w:t>
      </w:r>
      <w:r w:rsidR="00952F2B">
        <w:rPr>
          <w:rStyle w:val="FootnoteReference"/>
        </w:rPr>
        <w:footnoteReference w:id="12"/>
      </w:r>
      <w:r w:rsidR="00952F2B">
        <w:t xml:space="preserve"> </w:t>
      </w:r>
    </w:p>
    <w:p w14:paraId="0DAA3283" w14:textId="14832809" w:rsidR="00A019EC" w:rsidRPr="008C519A" w:rsidRDefault="00A019EC" w:rsidP="00C950D7">
      <w:pPr>
        <w:pStyle w:val="BillADPara"/>
      </w:pPr>
      <w:r>
        <w:t>The Drug and Alcohol Information System (</w:t>
      </w:r>
      <w:proofErr w:type="spellStart"/>
      <w:r>
        <w:t>DAISy</w:t>
      </w:r>
      <w:proofErr w:type="spellEnd"/>
      <w:r>
        <w:t xml:space="preserve">) </w:t>
      </w:r>
      <w:r w:rsidRPr="009C4717">
        <w:t>is a national database developed</w:t>
      </w:r>
      <w:r>
        <w:t xml:space="preserve"> by the Scottish Public Health Observatory (</w:t>
      </w:r>
      <w:proofErr w:type="spellStart"/>
      <w:r>
        <w:t>ScotPO</w:t>
      </w:r>
      <w:proofErr w:type="spellEnd"/>
      <w:r>
        <w:t>)</w:t>
      </w:r>
      <w:r w:rsidRPr="009C4717">
        <w:t xml:space="preserve"> to collect</w:t>
      </w:r>
      <w:r w:rsidR="00ED2E3A">
        <w:t xml:space="preserve"> data on</w:t>
      </w:r>
      <w:r w:rsidRPr="009C4717">
        <w:t xml:space="preserve"> drug and alcohol </w:t>
      </w:r>
      <w:r w:rsidR="007E329E">
        <w:t xml:space="preserve">assessments and </w:t>
      </w:r>
      <w:r w:rsidRPr="009C4717">
        <w:t>referral</w:t>
      </w:r>
      <w:r w:rsidR="00ED2E3A">
        <w:t>s</w:t>
      </w:r>
      <w:r w:rsidRPr="009C4717">
        <w:t>, waiting times and outcome information from staff delivering specialist drug and alcohol intervention</w:t>
      </w:r>
      <w:r w:rsidR="00ED2E3A">
        <w:t xml:space="preserve"> services</w:t>
      </w:r>
      <w:r w:rsidRPr="009C4717">
        <w:t>.</w:t>
      </w:r>
      <w:r>
        <w:rPr>
          <w:rStyle w:val="FootnoteReference"/>
        </w:rPr>
        <w:footnoteReference w:id="13"/>
      </w:r>
      <w:r w:rsidR="00A118E9">
        <w:t xml:space="preserve"> </w:t>
      </w:r>
      <w:proofErr w:type="spellStart"/>
      <w:r w:rsidR="00ED2E3A" w:rsidRPr="00050503">
        <w:t>DAISy</w:t>
      </w:r>
      <w:proofErr w:type="spellEnd"/>
      <w:r w:rsidR="00ED2E3A" w:rsidRPr="00050503">
        <w:t xml:space="preserve"> </w:t>
      </w:r>
      <w:r w:rsidR="00A118E9">
        <w:t>has</w:t>
      </w:r>
      <w:r w:rsidR="00ED2E3A" w:rsidRPr="00050503">
        <w:t xml:space="preserve"> provided</w:t>
      </w:r>
      <w:r w:rsidRPr="00050503">
        <w:t xml:space="preserve"> an </w:t>
      </w:r>
      <w:r w:rsidR="00370984" w:rsidRPr="00050503">
        <w:t>overview of initial assessments for specialist drug and alcohol treatment services in Scotland during 2021-22 and 2022-23</w:t>
      </w:r>
      <w:r w:rsidR="00A118E9">
        <w:t>:</w:t>
      </w:r>
      <w:r w:rsidRPr="00050503">
        <w:rPr>
          <w:rStyle w:val="FootnoteReference"/>
        </w:rPr>
        <w:footnoteReference w:id="14"/>
      </w:r>
      <w:r w:rsidRPr="008C519A">
        <w:rPr>
          <w:rStyle w:val="FootnoteReference"/>
        </w:rPr>
        <w:footnoteReference w:id="15"/>
      </w:r>
    </w:p>
    <w:p w14:paraId="19AF9A83" w14:textId="0F4DEAA8" w:rsidR="00A019EC" w:rsidRDefault="00A118E9" w:rsidP="005A5042">
      <w:pPr>
        <w:pStyle w:val="BillADQuotedText"/>
      </w:pPr>
      <w:r>
        <w:t>“</w:t>
      </w:r>
      <w:r w:rsidR="00A019EC" w:rsidRPr="00A473A9">
        <w:t xml:space="preserve">In 2021-22, a total of 7,288 initial assessments </w:t>
      </w:r>
      <w:r w:rsidR="00970CA0" w:rsidRPr="00A473A9">
        <w:t xml:space="preserve">of </w:t>
      </w:r>
      <w:r w:rsidR="00A019EC" w:rsidRPr="00A473A9">
        <w:t xml:space="preserve">people starting specialist drug treatment in Scotland were recorded on </w:t>
      </w:r>
      <w:proofErr w:type="spellStart"/>
      <w:r w:rsidR="00A019EC" w:rsidRPr="00A473A9">
        <w:t>DAIS</w:t>
      </w:r>
      <w:r>
        <w:t>y</w:t>
      </w:r>
      <w:proofErr w:type="spellEnd"/>
      <w:r w:rsidR="00A019EC" w:rsidRPr="00A473A9">
        <w:t>. In 2022-23</w:t>
      </w:r>
      <w:r w:rsidR="00ED2E3A" w:rsidRPr="00A473A9">
        <w:t>,</w:t>
      </w:r>
      <w:r w:rsidR="00A019EC" w:rsidRPr="00A473A9">
        <w:t xml:space="preserve"> a total of 6,275 assessments were recorded.</w:t>
      </w:r>
      <w:r>
        <w:t>”</w:t>
      </w:r>
      <w:r w:rsidR="008E5330">
        <w:rPr>
          <w:rStyle w:val="FootnoteReference"/>
        </w:rPr>
        <w:footnoteReference w:id="16"/>
      </w:r>
    </w:p>
    <w:p w14:paraId="0A62B154" w14:textId="77777777" w:rsidR="006555E5" w:rsidRDefault="00970CA0" w:rsidP="00C950D7">
      <w:pPr>
        <w:pStyle w:val="BillADPara"/>
      </w:pPr>
      <w:r w:rsidRPr="00A473A9">
        <w:t>S</w:t>
      </w:r>
      <w:r w:rsidR="00EE530C">
        <w:t xml:space="preserve">eparate figures included in </w:t>
      </w:r>
      <w:r w:rsidRPr="00A473A9">
        <w:t>t</w:t>
      </w:r>
      <w:r w:rsidR="00A019EC" w:rsidRPr="00A473A9">
        <w:t xml:space="preserve">he National Mission on Drugs: Annual Monitoring Report 2022-2023 </w:t>
      </w:r>
      <w:r w:rsidR="00EE530C">
        <w:t>reflected</w:t>
      </w:r>
      <w:r w:rsidR="00A019EC" w:rsidRPr="00A473A9">
        <w:t xml:space="preserve"> that 7,867 people started specialist treatment where they had an initial assessment recorded in 2022-23</w:t>
      </w:r>
      <w:r w:rsidR="00A019EC" w:rsidRPr="006555E5">
        <w:rPr>
          <w:vertAlign w:val="superscript"/>
        </w:rPr>
        <w:footnoteReference w:id="17"/>
      </w:r>
      <w:r w:rsidR="006555E5">
        <w:t>.</w:t>
      </w:r>
    </w:p>
    <w:p w14:paraId="0BFB4B59" w14:textId="749DE9E1" w:rsidR="006555E5" w:rsidRDefault="00A118E9" w:rsidP="00C950D7">
      <w:pPr>
        <w:pStyle w:val="BillADPara"/>
      </w:pPr>
      <w:r>
        <w:t xml:space="preserve">It is worth noting in interpreting data on referral levels for drugs, alcohol, or co-dependence that, in a statement to </w:t>
      </w:r>
      <w:r w:rsidR="00DA26E9">
        <w:t xml:space="preserve">the </w:t>
      </w:r>
      <w:r>
        <w:t>Parliament on the Minimum Unit Pricing of alcohol, in answer to a question on referral levels, the Deputy First Minister stated</w:t>
      </w:r>
      <w:r w:rsidR="006555E5">
        <w:t xml:space="preserve">: </w:t>
      </w:r>
    </w:p>
    <w:p w14:paraId="65CED306" w14:textId="4A82837E" w:rsidR="006555E5" w:rsidRDefault="00A118E9" w:rsidP="005A5042">
      <w:pPr>
        <w:pStyle w:val="BillADQuotedText"/>
      </w:pPr>
      <w:r>
        <w:t>“</w:t>
      </w:r>
      <w:r w:rsidRPr="00AE2B55">
        <w:t>We have asked Public Health Scotland to investigate the reduction in the number of referrals to treatment services, as we need to ensure that referrals are made wherever appropriate and that services have the capacity to meet people’s needs. It is vital that we know what lies behind the data.</w:t>
      </w:r>
      <w:r>
        <w:t>”</w:t>
      </w:r>
      <w:r>
        <w:rPr>
          <w:rStyle w:val="FootnoteReference"/>
        </w:rPr>
        <w:footnoteReference w:id="18"/>
      </w:r>
    </w:p>
    <w:p w14:paraId="70EDE963" w14:textId="6A2D4577" w:rsidR="007F163F" w:rsidRPr="00D46EC3" w:rsidRDefault="00D46EC3" w:rsidP="00C950D7">
      <w:pPr>
        <w:pStyle w:val="BillADPara"/>
      </w:pPr>
      <w:r>
        <w:t>The National Mission on Drugs: Annual Monitoring Report 2022-2023 refers to there being 235 drug-related</w:t>
      </w:r>
      <w:r w:rsidR="006F4D74">
        <w:t xml:space="preserve"> hospital</w:t>
      </w:r>
      <w:r>
        <w:t xml:space="preserve"> stays per 100,000 in 2021-22, and there being 3,641 ambulance service naloxone administrations in 2022</w:t>
      </w:r>
      <w:r w:rsidR="00ED2E3A">
        <w:t>-</w:t>
      </w:r>
      <w:r>
        <w:t>23</w:t>
      </w:r>
      <w:r w:rsidR="00ED2E3A">
        <w:t>.</w:t>
      </w:r>
      <w:r>
        <w:rPr>
          <w:rStyle w:val="FootnoteReference"/>
        </w:rPr>
        <w:footnoteReference w:id="19"/>
      </w:r>
      <w:r w:rsidR="004A7FE1">
        <w:t xml:space="preserve"> </w:t>
      </w:r>
      <w:r w:rsidR="007F163F">
        <w:t>In</w:t>
      </w:r>
      <w:r w:rsidR="004A7FE1">
        <w:t xml:space="preserve"> </w:t>
      </w:r>
      <w:r w:rsidR="007F163F">
        <w:t>2022, according to National Records of Scotland statistics</w:t>
      </w:r>
      <w:r w:rsidR="007F163F">
        <w:rPr>
          <w:rStyle w:val="FootnoteReference"/>
        </w:rPr>
        <w:footnoteReference w:id="20"/>
      </w:r>
      <w:r w:rsidR="007F163F">
        <w:t xml:space="preserve"> there were 1,051 drug deaths, a decrease of 21% since 2021.</w:t>
      </w:r>
      <w:r w:rsidR="007F163F">
        <w:rPr>
          <w:rStyle w:val="FootnoteReference"/>
        </w:rPr>
        <w:footnoteReference w:id="21"/>
      </w:r>
      <w:r w:rsidR="007F163F">
        <w:t xml:space="preserve"> </w:t>
      </w:r>
      <w:r w:rsidR="00A118E9">
        <w:t>M</w:t>
      </w:r>
      <w:r w:rsidR="007F163F">
        <w:t>ore recently published (12 March 2024) quarterly Police Scotland statistics suggest that, in 2023, this figure was 1,197.</w:t>
      </w:r>
      <w:r w:rsidR="007F163F">
        <w:rPr>
          <w:rStyle w:val="FootnoteReference"/>
        </w:rPr>
        <w:footnoteReference w:id="22"/>
      </w:r>
    </w:p>
    <w:p w14:paraId="2D3E6D72" w14:textId="40167AAD" w:rsidR="00A019EC" w:rsidRDefault="00A019EC" w:rsidP="00D95788">
      <w:pPr>
        <w:pStyle w:val="BillADHeading3"/>
      </w:pPr>
      <w:r>
        <w:t>Alcohol</w:t>
      </w:r>
    </w:p>
    <w:p w14:paraId="0AC9C292" w14:textId="77777777" w:rsidR="001C5DED" w:rsidRDefault="00952F2B" w:rsidP="00C950D7">
      <w:pPr>
        <w:pStyle w:val="BillADPara"/>
      </w:pPr>
      <w:r w:rsidRPr="0078254A">
        <w:t>In terms of alcohol misuse, the Scottish Health Survey 2022</w:t>
      </w:r>
      <w:r w:rsidRPr="001C5DED">
        <w:rPr>
          <w:vertAlign w:val="superscript"/>
        </w:rPr>
        <w:footnoteReference w:id="23"/>
      </w:r>
      <w:r w:rsidRPr="0078254A">
        <w:t xml:space="preserve"> reported that 22% of people drink at harmful or hazardous levels (defined as more than 14 units of alcohol per week)</w:t>
      </w:r>
      <w:r w:rsidR="001C5DED">
        <w:t>.</w:t>
      </w:r>
      <w:r w:rsidRPr="001C5DED">
        <w:rPr>
          <w:vertAlign w:val="superscript"/>
        </w:rPr>
        <w:footnoteReference w:id="24"/>
      </w:r>
      <w:r w:rsidRPr="00094AB1">
        <w:rPr>
          <w:vertAlign w:val="superscript"/>
        </w:rPr>
        <w:t xml:space="preserve"> </w:t>
      </w:r>
      <w:r w:rsidRPr="001C5DED">
        <w:rPr>
          <w:vertAlign w:val="superscript"/>
        </w:rPr>
        <w:footnoteReference w:id="25"/>
      </w:r>
      <w:r w:rsidR="007F163F">
        <w:t xml:space="preserve"> </w:t>
      </w:r>
      <w:r w:rsidR="00A118E9">
        <w:t xml:space="preserve">This Bill </w:t>
      </w:r>
      <w:r w:rsidR="004A7FE1">
        <w:t xml:space="preserve">specifically </w:t>
      </w:r>
      <w:r w:rsidR="00A118E9">
        <w:t>relates to those who have</w:t>
      </w:r>
      <w:r w:rsidR="00A118E9" w:rsidRPr="000E23AB">
        <w:t xml:space="preserve"> been diagnosed as having a drug or alcohol addiction</w:t>
      </w:r>
      <w:r w:rsidR="00A118E9">
        <w:t>. This means</w:t>
      </w:r>
      <w:r w:rsidR="00A118E9" w:rsidRPr="000E23AB">
        <w:t xml:space="preserve"> when that person has been diagnosed by a </w:t>
      </w:r>
      <w:r w:rsidR="00A118E9">
        <w:t>relevant health professional</w:t>
      </w:r>
      <w:r w:rsidR="00A118E9" w:rsidRPr="000E23AB">
        <w:t xml:space="preserve"> as having an illness that involves an addiction to or dependency on a </w:t>
      </w:r>
      <w:r w:rsidR="00A118E9">
        <w:t xml:space="preserve">drug or </w:t>
      </w:r>
      <w:r w:rsidR="00A118E9" w:rsidRPr="000E23AB">
        <w:t>alcohol</w:t>
      </w:r>
      <w:r w:rsidR="00A118E9">
        <w:t xml:space="preserve">. </w:t>
      </w:r>
    </w:p>
    <w:p w14:paraId="2271019F" w14:textId="2012C2D9" w:rsidR="00A118E9" w:rsidRDefault="00A118E9" w:rsidP="00C950D7">
      <w:pPr>
        <w:pStyle w:val="BillADPara"/>
      </w:pPr>
      <w:r>
        <w:t>Drink Aware defines alcohol dependence</w:t>
      </w:r>
      <w:r w:rsidR="004A7FE1">
        <w:t xml:space="preserve"> as follows</w:t>
      </w:r>
      <w:r>
        <w:t>:</w:t>
      </w:r>
    </w:p>
    <w:p w14:paraId="6820D9A1" w14:textId="26DF109A" w:rsidR="00A118E9" w:rsidRPr="00A118E9" w:rsidRDefault="00A118E9" w:rsidP="005A5042">
      <w:pPr>
        <w:pStyle w:val="BillADQuotedText"/>
        <w:rPr>
          <w:b/>
          <w:bCs/>
        </w:rPr>
      </w:pPr>
      <w:r w:rsidRPr="004A7FE1">
        <w:t>“</w:t>
      </w:r>
      <w:r w:rsidRPr="004A7FE1">
        <w:rPr>
          <w:rStyle w:val="Strong"/>
          <w:b w:val="0"/>
          <w:bCs w:val="0"/>
          <w:color w:val="202429"/>
        </w:rPr>
        <w:t>Alcohol</w:t>
      </w:r>
      <w:r w:rsidRPr="00A118E9">
        <w:rPr>
          <w:rStyle w:val="Strong"/>
          <w:b w:val="0"/>
          <w:bCs w:val="0"/>
          <w:color w:val="202429"/>
        </w:rPr>
        <w:t xml:space="preserve"> dependence, </w:t>
      </w:r>
      <w:r w:rsidRPr="005A5042">
        <w:rPr>
          <w:rStyle w:val="Strong"/>
          <w:b w:val="0"/>
          <w:bCs w:val="0"/>
        </w:rPr>
        <w:t>which</w:t>
      </w:r>
      <w:r w:rsidRPr="00A118E9">
        <w:rPr>
          <w:rStyle w:val="Strong"/>
          <w:b w:val="0"/>
          <w:bCs w:val="0"/>
          <w:color w:val="202429"/>
        </w:rPr>
        <w:t xml:space="preserve"> is also known as alcoholism or alcohol addiction, describes the most serious form of high-risk drinking, with a strong - often uncontrollable - desire to drink. It means drinking at a level that causes harm to your health.”</w:t>
      </w:r>
      <w:r>
        <w:rPr>
          <w:rStyle w:val="FootnoteReference"/>
          <w:color w:val="202429"/>
        </w:rPr>
        <w:footnoteReference w:id="26"/>
      </w:r>
    </w:p>
    <w:p w14:paraId="10393DD5" w14:textId="715C4FB1" w:rsidR="00952F2B" w:rsidRPr="00DB397D" w:rsidRDefault="00952F2B" w:rsidP="00C950D7">
      <w:pPr>
        <w:pStyle w:val="BillADPara"/>
      </w:pPr>
      <w:r w:rsidRPr="00DB397D">
        <w:t xml:space="preserve">In relation to </w:t>
      </w:r>
      <w:r w:rsidR="007F163F">
        <w:t xml:space="preserve">treatment for </w:t>
      </w:r>
      <w:r w:rsidRPr="00DB397D">
        <w:t>alcohol</w:t>
      </w:r>
      <w:r w:rsidR="007F163F">
        <w:t xml:space="preserve"> addiction</w:t>
      </w:r>
      <w:r w:rsidRPr="00DB397D">
        <w:t xml:space="preserve">, in 2021-22 and 2022-23 </w:t>
      </w:r>
      <w:proofErr w:type="spellStart"/>
      <w:r w:rsidRPr="00DB397D">
        <w:t>DAISy</w:t>
      </w:r>
      <w:proofErr w:type="spellEnd"/>
      <w:r w:rsidRPr="00DB397D">
        <w:t xml:space="preserve"> </w:t>
      </w:r>
      <w:r w:rsidR="001C1DD5">
        <w:t>recorded</w:t>
      </w:r>
      <w:r w:rsidRPr="00DB397D">
        <w:t>:</w:t>
      </w:r>
    </w:p>
    <w:p w14:paraId="7F05BF9C" w14:textId="56F8C32F" w:rsidR="00952F2B" w:rsidRPr="006F0EE8" w:rsidRDefault="00A118E9" w:rsidP="005A5042">
      <w:pPr>
        <w:pStyle w:val="BillADQuotedText"/>
      </w:pPr>
      <w:r>
        <w:t>“…</w:t>
      </w:r>
      <w:r w:rsidR="00952F2B" w:rsidRPr="006F0EE8">
        <w:t>10,204 initial assessments for people starting specialist alcohol treatment in Scotland</w:t>
      </w:r>
      <w:r w:rsidR="001C5DED">
        <w:t xml:space="preserve"> </w:t>
      </w:r>
      <w:r w:rsidR="005D7C1A">
        <w:t>recorded in 2021-22</w:t>
      </w:r>
      <w:r w:rsidR="00952F2B" w:rsidRPr="006F0EE8">
        <w:t>. In 2022</w:t>
      </w:r>
      <w:r w:rsidR="00952F2B">
        <w:t>-</w:t>
      </w:r>
      <w:r w:rsidR="00952F2B" w:rsidRPr="006F0EE8">
        <w:t>23</w:t>
      </w:r>
      <w:r w:rsidR="005D7C1A">
        <w:t>,</w:t>
      </w:r>
      <w:r w:rsidR="00952F2B" w:rsidRPr="006F0EE8">
        <w:t xml:space="preserve"> 9,803 assessments were recorded.</w:t>
      </w:r>
      <w:r>
        <w:t>”</w:t>
      </w:r>
      <w:r w:rsidR="00460D58">
        <w:rPr>
          <w:rStyle w:val="FootnoteReference"/>
        </w:rPr>
        <w:footnoteReference w:id="27"/>
      </w:r>
    </w:p>
    <w:p w14:paraId="38040093" w14:textId="493AAED3" w:rsidR="009D7FEE" w:rsidRPr="00A019EC" w:rsidRDefault="009D7FEE" w:rsidP="00C950D7">
      <w:pPr>
        <w:pStyle w:val="BillADPara"/>
      </w:pPr>
      <w:r w:rsidRPr="00DB397D">
        <w:t>Alcohol Focus Scotland stated that 2</w:t>
      </w:r>
      <w:r>
        <w:t>0,634</w:t>
      </w:r>
      <w:r w:rsidRPr="00DB397D">
        <w:t xml:space="preserve"> Scottish residents had at least one admission to hospital with an alcohol-related condition in </w:t>
      </w:r>
      <w:r>
        <w:t>202</w:t>
      </w:r>
      <w:r w:rsidR="00251A1F">
        <w:t>2</w:t>
      </w:r>
      <w:r w:rsidRPr="001C5DED">
        <w:rPr>
          <w:vertAlign w:val="superscript"/>
        </w:rPr>
        <w:footnoteReference w:id="28"/>
      </w:r>
      <w:r w:rsidRPr="00094AB1">
        <w:rPr>
          <w:vertAlign w:val="superscript"/>
        </w:rPr>
        <w:t xml:space="preserve"> </w:t>
      </w:r>
      <w:r w:rsidRPr="00DB397D">
        <w:t xml:space="preserve">and that </w:t>
      </w:r>
      <w:r>
        <w:t>t</w:t>
      </w:r>
      <w:r w:rsidRPr="00DB397D">
        <w:t xml:space="preserve">here were </w:t>
      </w:r>
      <w:r>
        <w:t>31,206</w:t>
      </w:r>
      <w:r w:rsidRPr="00DB397D">
        <w:t xml:space="preserve"> alcohol-related hospital admissions (stays) in Scotland in 202</w:t>
      </w:r>
      <w:r w:rsidR="00251A1F">
        <w:t>2</w:t>
      </w:r>
      <w:r>
        <w:t>-</w:t>
      </w:r>
      <w:r w:rsidRPr="00DB397D">
        <w:t>2</w:t>
      </w:r>
      <w:r w:rsidR="00251A1F">
        <w:t>3</w:t>
      </w:r>
      <w:r w:rsidRPr="00DB397D">
        <w:t>.</w:t>
      </w:r>
      <w:r w:rsidRPr="001C5DED">
        <w:rPr>
          <w:vertAlign w:val="superscript"/>
        </w:rPr>
        <w:footnoteReference w:id="29"/>
      </w:r>
      <w:r w:rsidRPr="00DB397D">
        <w:t xml:space="preserve"> Rates were </w:t>
      </w:r>
      <w:r>
        <w:t>seven</w:t>
      </w:r>
      <w:r w:rsidRPr="00DB397D">
        <w:t xml:space="preserve"> times higher for people living in the most </w:t>
      </w:r>
      <w:r w:rsidRPr="00EE530C">
        <w:t>deprived areas compared with the least deprived (849 compared to 127 per 100,000 population</w:t>
      </w:r>
      <w:r w:rsidRPr="001C5DED">
        <w:t>)</w:t>
      </w:r>
      <w:r w:rsidRPr="00EE530C">
        <w:t>.</w:t>
      </w:r>
      <w:r w:rsidRPr="001C5DED">
        <w:rPr>
          <w:vertAlign w:val="superscript"/>
        </w:rPr>
        <w:footnoteReference w:id="30"/>
      </w:r>
    </w:p>
    <w:p w14:paraId="6CB9C7C5" w14:textId="269F95B0" w:rsidR="008E5330" w:rsidRDefault="008E5330" w:rsidP="00D95788">
      <w:pPr>
        <w:pStyle w:val="BillADHeading3"/>
      </w:pPr>
      <w:r>
        <w:t>Co-dependency</w:t>
      </w:r>
    </w:p>
    <w:p w14:paraId="533E3F6D" w14:textId="7067BD66" w:rsidR="004A7FE1" w:rsidRPr="004A7FE1" w:rsidRDefault="004A7FE1" w:rsidP="00C950D7">
      <w:pPr>
        <w:pStyle w:val="BillADPara"/>
      </w:pPr>
      <w:proofErr w:type="spellStart"/>
      <w:r w:rsidRPr="004A7FE1">
        <w:t>DAISy</w:t>
      </w:r>
      <w:proofErr w:type="spellEnd"/>
      <w:r w:rsidRPr="004A7FE1">
        <w:t xml:space="preserve"> also records data relating to co-dependency (</w:t>
      </w:r>
      <w:proofErr w:type="gramStart"/>
      <w:r w:rsidRPr="004A7FE1">
        <w:t>i.e.</w:t>
      </w:r>
      <w:proofErr w:type="gramEnd"/>
      <w:r w:rsidRPr="004A7FE1">
        <w:t xml:space="preserve"> treatment for both alcohol and drug addiction). In 2021-22, a total of 2,153 initial treatment assessments for co-dependence on alcohol and drugs were recorded. In 2022-23, this figure decreased to 2,017 treatment assessments for co-dependence on alcohol and drugs.</w:t>
      </w:r>
      <w:r w:rsidRPr="001C5DED">
        <w:rPr>
          <w:vertAlign w:val="superscript"/>
        </w:rPr>
        <w:footnoteReference w:id="31"/>
      </w:r>
    </w:p>
    <w:p w14:paraId="41C594F7" w14:textId="39901A48" w:rsidR="008E5330" w:rsidRDefault="008E5330" w:rsidP="00D95788">
      <w:pPr>
        <w:pStyle w:val="BillADHeading3"/>
      </w:pPr>
      <w:r>
        <w:t>T</w:t>
      </w:r>
      <w:r w:rsidR="004F6A27">
        <w:t>reatment</w:t>
      </w:r>
      <w:r>
        <w:t xml:space="preserve"> for addiction to drugs and/or alcohol </w:t>
      </w:r>
      <w:r w:rsidR="00E91213">
        <w:t>– discharge without treatment</w:t>
      </w:r>
    </w:p>
    <w:p w14:paraId="37AFB122" w14:textId="77777777" w:rsidR="00121E6A" w:rsidRDefault="008E5330" w:rsidP="00C950D7">
      <w:pPr>
        <w:pStyle w:val="BillADPara"/>
      </w:pPr>
      <w:proofErr w:type="spellStart"/>
      <w:r>
        <w:t>DAISy</w:t>
      </w:r>
      <w:proofErr w:type="spellEnd"/>
      <w:r>
        <w:t xml:space="preserve"> recorded </w:t>
      </w:r>
      <w:r w:rsidR="006C72EA">
        <w:t xml:space="preserve">initial assessments </w:t>
      </w:r>
      <w:r>
        <w:t xml:space="preserve">for specialist alcohol and drug treatment relating to 18,294 people </w:t>
      </w:r>
      <w:proofErr w:type="gramStart"/>
      <w:r>
        <w:t>resident</w:t>
      </w:r>
      <w:proofErr w:type="gramEnd"/>
      <w:r>
        <w:t xml:space="preserve"> in Scotland in 2021/22 and 16,936 people in 2022/23.</w:t>
      </w:r>
      <w:r w:rsidRPr="00121E6A">
        <w:rPr>
          <w:vertAlign w:val="superscript"/>
        </w:rPr>
        <w:footnoteReference w:id="32"/>
      </w:r>
      <w:r w:rsidRPr="00094AB1">
        <w:rPr>
          <w:vertAlign w:val="superscript"/>
        </w:rPr>
        <w:t xml:space="preserve"> </w:t>
      </w:r>
    </w:p>
    <w:p w14:paraId="6ECF4A3A" w14:textId="69224782" w:rsidR="00CB1379" w:rsidRDefault="004A7FE1" w:rsidP="00C950D7">
      <w:pPr>
        <w:pStyle w:val="BillADPara"/>
      </w:pPr>
      <w:r>
        <w:t>T</w:t>
      </w:r>
      <w:r w:rsidR="00CB1379">
        <w:t>he</w:t>
      </w:r>
      <w:r w:rsidR="00CB1379" w:rsidRPr="00CB1379">
        <w:t xml:space="preserve"> </w:t>
      </w:r>
      <w:r w:rsidR="00CB1379">
        <w:t>National Drug and Alcohol Treatment Waiting Times (release</w:t>
      </w:r>
      <w:r w:rsidR="00DA26E9">
        <w:t>d</w:t>
      </w:r>
      <w:r w:rsidR="00CB1379">
        <w:t xml:space="preserve"> on 19 December 2023)</w:t>
      </w:r>
      <w:r w:rsidR="003D254E">
        <w:rPr>
          <w:rStyle w:val="FootnoteReference"/>
        </w:rPr>
        <w:footnoteReference w:id="33"/>
      </w:r>
      <w:r w:rsidR="00CB1379">
        <w:t xml:space="preserve"> highlights the </w:t>
      </w:r>
      <w:r>
        <w:t>instances where people are</w:t>
      </w:r>
      <w:r w:rsidR="00CB1379">
        <w:t xml:space="preserve"> discharged before treatment:</w:t>
      </w:r>
    </w:p>
    <w:p w14:paraId="1913494D" w14:textId="2AAE7C73" w:rsidR="00CB1379" w:rsidRDefault="00CB1379" w:rsidP="005A5042">
      <w:pPr>
        <w:pStyle w:val="BillADQuotedText"/>
      </w:pPr>
      <w:r>
        <w:t>“Discharges before treatment can occur for a range of reasons but may be indicative of inappropriate referral or a failure to engage with services. It is useful to consider the number of discharges before treatment when examining differences between the numbers of referrals received and the number of completed waits.</w:t>
      </w:r>
    </w:p>
    <w:p w14:paraId="5E7A56A8" w14:textId="05670BDD" w:rsidR="00CB1379" w:rsidRPr="008E5330" w:rsidRDefault="00371C00" w:rsidP="00460D58">
      <w:pPr>
        <w:pStyle w:val="BillADQuotedText"/>
      </w:pPr>
      <w:r>
        <w:t>“</w:t>
      </w:r>
      <w:r w:rsidR="00CB1379">
        <w:t>Between 1 July and 30 September 2023, a total of 3,097 (31.0%) referrals to community-based services were discharged before starting treatment</w:t>
      </w:r>
      <w:r w:rsidR="004A7FE1">
        <w:t>…</w:t>
      </w:r>
      <w:r w:rsidR="00121E6A">
        <w:t xml:space="preserve"> </w:t>
      </w:r>
      <w:r w:rsidR="00CB1379">
        <w:t>Of the 3,097 referrals discharged before starting treatment: 79.3% (2,459) were discharged and recorded as treatment incomplete due to reasons including the person disengaged, was unable to engage, or declined treatment, the referral was considered inappropriate by the service, or the treatment was withdrawn by the service…”</w:t>
      </w:r>
      <w:r w:rsidR="00460D58">
        <w:t>.</w:t>
      </w:r>
      <w:r w:rsidR="003D254E">
        <w:rPr>
          <w:rStyle w:val="FootnoteReference"/>
        </w:rPr>
        <w:footnoteReference w:id="34"/>
      </w:r>
    </w:p>
    <w:p w14:paraId="1CFF53C0" w14:textId="6277F420" w:rsidR="00312132" w:rsidRPr="00312132" w:rsidRDefault="00312132" w:rsidP="00064BFC">
      <w:pPr>
        <w:pStyle w:val="BillADAdditionalHeading1"/>
      </w:pPr>
      <w:r>
        <w:t>Existing</w:t>
      </w:r>
      <w:r w:rsidR="00A86A2E">
        <w:t xml:space="preserve"> treatment</w:t>
      </w:r>
      <w:r w:rsidR="00F16F71">
        <w:t>s for</w:t>
      </w:r>
      <w:r w:rsidR="00A86A2E">
        <w:t xml:space="preserve"> drug and</w:t>
      </w:r>
      <w:r w:rsidR="00F16F71">
        <w:t>/or</w:t>
      </w:r>
      <w:r w:rsidR="00A86A2E">
        <w:t xml:space="preserve"> alcohol addiction</w:t>
      </w:r>
    </w:p>
    <w:p w14:paraId="0171AD76" w14:textId="7F7B4D68" w:rsidR="00EF2EEE" w:rsidRDefault="00EF2EEE" w:rsidP="000500E2">
      <w:pPr>
        <w:pStyle w:val="BillADHeading4"/>
      </w:pPr>
      <w:r w:rsidRPr="0078254A">
        <w:t>Residential rehabilitation</w:t>
      </w:r>
    </w:p>
    <w:p w14:paraId="1DD68551" w14:textId="3E60FCEE" w:rsidR="00121E6A" w:rsidRDefault="00CB1379" w:rsidP="00C950D7">
      <w:pPr>
        <w:pStyle w:val="BillADPara"/>
      </w:pPr>
      <w:r>
        <w:t xml:space="preserve">The report of the </w:t>
      </w:r>
      <w:r w:rsidRPr="002A108D">
        <w:t>Residential Rehabilitation Working Group: drug and alcohol residential treatment services</w:t>
      </w:r>
      <w:r>
        <w:t>, found that, on average, across 20 EU member states, residential treatment represents 11% of all treatment episodes.</w:t>
      </w:r>
      <w:r w:rsidRPr="00121E6A">
        <w:rPr>
          <w:vertAlign w:val="superscript"/>
        </w:rPr>
        <w:footnoteReference w:id="35"/>
      </w:r>
      <w:r w:rsidRPr="00094AB1">
        <w:rPr>
          <w:vertAlign w:val="superscript"/>
        </w:rPr>
        <w:t xml:space="preserve"> </w:t>
      </w:r>
      <w:r>
        <w:t>The proportion of treatment episodes</w:t>
      </w:r>
      <w:r w:rsidR="004A7FE1">
        <w:t xml:space="preserve"> in Scotland</w:t>
      </w:r>
      <w:r>
        <w:t xml:space="preserve"> that are treated in residential rehabilitation sits at around 5%. The Scottish Government, under the former First Minister,</w:t>
      </w:r>
      <w:r w:rsidR="001217DA">
        <w:t xml:space="preserve"> Nicola Sturgeon MSP,</w:t>
      </w:r>
      <w:r>
        <w:t xml:space="preserve"> committed to increase this percentage to 11%, in line with the EU average.</w:t>
      </w:r>
      <w:r w:rsidRPr="00121E6A">
        <w:rPr>
          <w:vertAlign w:val="superscript"/>
        </w:rPr>
        <w:footnoteReference w:id="36"/>
      </w:r>
    </w:p>
    <w:p w14:paraId="1D0550ED" w14:textId="77777777" w:rsidR="00121E6A" w:rsidRDefault="00AC33BB" w:rsidP="00C950D7">
      <w:pPr>
        <w:pStyle w:val="BillADPara"/>
      </w:pPr>
      <w:r>
        <w:t>In February 2024, Public Health Scotland published an evaluation of the Scottish Government Residential Rehabilitation programme.</w:t>
      </w:r>
      <w:r>
        <w:rPr>
          <w:rStyle w:val="FootnoteReference"/>
        </w:rPr>
        <w:footnoteReference w:id="37"/>
      </w:r>
      <w:r>
        <w:rPr>
          <w:rStyle w:val="FootnoteReference"/>
        </w:rPr>
        <w:footnoteReference w:id="38"/>
      </w:r>
      <w:r>
        <w:t>It</w:t>
      </w:r>
      <w:r w:rsidR="004A7FE1">
        <w:t xml:space="preserve"> highlights</w:t>
      </w:r>
      <w:r>
        <w:t xml:space="preserve"> that the Scottish Government has set itself t</w:t>
      </w:r>
      <w:r w:rsidR="00CB1379">
        <w:t>he target</w:t>
      </w:r>
      <w:r>
        <w:t xml:space="preserve"> to increase residential rehab</w:t>
      </w:r>
      <w:r w:rsidR="00E91213">
        <w:t>ilitation</w:t>
      </w:r>
      <w:r>
        <w:t xml:space="preserve"> bed capacity in Scotland to 650 beds by 2026</w:t>
      </w:r>
      <w:r w:rsidR="00CB1379">
        <w:t>.</w:t>
      </w:r>
      <w:r w:rsidR="006C72EA">
        <w:t xml:space="preserve"> Its findings included: </w:t>
      </w:r>
    </w:p>
    <w:p w14:paraId="4953B447" w14:textId="2B37F6D7" w:rsidR="00121E6A" w:rsidRDefault="006C72EA" w:rsidP="005A5042">
      <w:pPr>
        <w:pStyle w:val="BillADQuotedText"/>
      </w:pPr>
      <w:r>
        <w:t xml:space="preserve">“According to a 2021 Scottish Government survey of residential rehab providers, there were an estimated 425 rehab beds in Scotland in 2020–2021. </w:t>
      </w:r>
      <w:r w:rsidRPr="006C72EA">
        <w:t xml:space="preserve">Of the additional 172 beds planned under the Residential Rehabilitation programme, 32 are already operational (see Table 2). This represents an increase of 8%, </w:t>
      </w:r>
      <w:proofErr w:type="gramStart"/>
      <w:r w:rsidRPr="006C72EA">
        <w:t>assuming that</w:t>
      </w:r>
      <w:proofErr w:type="gramEnd"/>
      <w:r w:rsidRPr="006C72EA">
        <w:t xml:space="preserve"> the 425 earlier beds continue to be operational.</w:t>
      </w:r>
      <w:r>
        <w:t xml:space="preserve"> The increase in bed capacity to date covers specific target groups: individuals with children and people who can access NHS Lothian services. There has been no increase in bed capacity for individuals without children living in other Health Board areas. However, this is planned (see Table 2). </w:t>
      </w:r>
      <w:r w:rsidRPr="006C72EA">
        <w:t xml:space="preserve">The additional 172 beds currently planned would present an increase of 40% compared to the 425 beds recorded in 2020–2021, to a total of 597 beds, again </w:t>
      </w:r>
      <w:proofErr w:type="gramStart"/>
      <w:r w:rsidRPr="006C72EA">
        <w:t>assuming that</w:t>
      </w:r>
      <w:proofErr w:type="gramEnd"/>
      <w:r w:rsidRPr="006C72EA">
        <w:t xml:space="preserve"> the 425 earlier beds continue to be operational. A further increase of 53 beds would then still be needed before the end of 2025–2026 to achieve the Scottish Government target of 650 residential rehab beds in Scotland by March 2026.”</w:t>
      </w:r>
      <w:r w:rsidR="000125E3">
        <w:t xml:space="preserve"> </w:t>
      </w:r>
    </w:p>
    <w:p w14:paraId="55160885" w14:textId="604404A8" w:rsidR="00121E6A" w:rsidRDefault="00D54D9E" w:rsidP="00C950D7">
      <w:pPr>
        <w:pStyle w:val="BillADPara"/>
      </w:pPr>
      <w:r>
        <w:t>Currently, there are fewer residential rehabilitation beds in the statutory sector compared with the private and third sectors (25 beds across 2 providers in February 2021</w:t>
      </w:r>
      <w:r>
        <w:rPr>
          <w:rStyle w:val="FootnoteReference"/>
        </w:rPr>
        <w:footnoteReference w:id="39"/>
      </w:r>
      <w:r>
        <w:t>). One of those is the Lothians and Edinburgh Abstinence Programme (LEAP), run by NHS Lothian out of Woodland House in the Astley Ainslie Hospital.</w:t>
      </w:r>
      <w:r w:rsidR="004A7FE1">
        <w:t xml:space="preserve"> </w:t>
      </w:r>
      <w:r>
        <w:t>This is a three month, quasi</w:t>
      </w:r>
      <w:r w:rsidR="004A7FE1">
        <w:t>-</w:t>
      </w:r>
      <w:r>
        <w:t>residential, treatment programme.</w:t>
      </w:r>
      <w:r>
        <w:rPr>
          <w:rStyle w:val="FootnoteReference"/>
        </w:rPr>
        <w:footnoteReference w:id="40"/>
      </w:r>
      <w:r w:rsidR="004B1A81">
        <w:t xml:space="preserve"> </w:t>
      </w:r>
      <w:r>
        <w:t>In 2021, NHS Lothian received £5 million to create capacity to support around 600 additional placements over five years at LEAP (</w:t>
      </w:r>
      <w:proofErr w:type="gramStart"/>
      <w:r>
        <w:t>and also</w:t>
      </w:r>
      <w:proofErr w:type="gramEnd"/>
      <w:r>
        <w:t xml:space="preserve"> to increase capacity at the linked </w:t>
      </w:r>
      <w:proofErr w:type="spellStart"/>
      <w:r>
        <w:t>Ritson</w:t>
      </w:r>
      <w:proofErr w:type="spellEnd"/>
      <w:r>
        <w:t xml:space="preserve"> detoxification clinic at the Royal Edinburgh Hospital from eight beds to 12)</w:t>
      </w:r>
      <w:r>
        <w:rPr>
          <w:rStyle w:val="FootnoteReference"/>
        </w:rPr>
        <w:footnoteReference w:id="41"/>
      </w:r>
      <w:r>
        <w:t xml:space="preserve"> £3,281,055 of this funding was for eight additional beds in LEAP</w:t>
      </w:r>
      <w:r w:rsidR="00121E6A">
        <w:t>.</w:t>
      </w:r>
      <w:r>
        <w:rPr>
          <w:rStyle w:val="FootnoteReference"/>
        </w:rPr>
        <w:footnoteReference w:id="42"/>
      </w:r>
    </w:p>
    <w:p w14:paraId="706E9384" w14:textId="77777777" w:rsidR="00121E6A" w:rsidRDefault="00065E22" w:rsidP="00C950D7">
      <w:pPr>
        <w:pStyle w:val="BillADPara"/>
      </w:pPr>
      <w:r>
        <w:t>The cost of provision of beds in residential rehabilitation varies</w:t>
      </w:r>
      <w:r w:rsidR="00D54D9E">
        <w:t>, including</w:t>
      </w:r>
      <w:r>
        <w:t xml:space="preserve"> depending on the sector in which it is provided. </w:t>
      </w:r>
      <w:r w:rsidR="00A019EC">
        <w:t xml:space="preserve">In 2021, the Scottish Government carried out a survey of residential rehabilitation providers to </w:t>
      </w:r>
      <w:r w:rsidR="003F2C4F">
        <w:t xml:space="preserve">build </w:t>
      </w:r>
      <w:r w:rsidR="00A019EC">
        <w:t xml:space="preserve">an overview of access, </w:t>
      </w:r>
      <w:proofErr w:type="gramStart"/>
      <w:r w:rsidR="00A019EC">
        <w:t>resourcing</w:t>
      </w:r>
      <w:proofErr w:type="gramEnd"/>
      <w:r w:rsidR="00A019EC">
        <w:t xml:space="preserve"> and provision of residential rehab across Scotland. The resultant report, </w:t>
      </w:r>
      <w:r w:rsidR="00A019EC" w:rsidRPr="00094AB1">
        <w:rPr>
          <w:i/>
          <w:iCs/>
        </w:rPr>
        <w:t>Pathways into, through and out of Residential Rehabilitation in Scotland: Results from the Residential Rehabilitation Providers Survey November 2021</w:t>
      </w:r>
      <w:r w:rsidR="00A019EC">
        <w:t>, stated that:</w:t>
      </w:r>
      <w:r w:rsidR="00121E6A">
        <w:t xml:space="preserve"> </w:t>
      </w:r>
    </w:p>
    <w:p w14:paraId="122F8B44" w14:textId="44FE722A" w:rsidR="00121E6A" w:rsidRDefault="00A019EC" w:rsidP="005A5042">
      <w:pPr>
        <w:pStyle w:val="BillADQuotedText"/>
      </w:pPr>
      <w:r>
        <w:t>“The average cost of a placement in a core programme in rehab in Scotland is £18,112, with placement costs ranging from £6,504 to £27,500 (£350 to £5540 per week)</w:t>
      </w:r>
      <w:r w:rsidR="00D54D9E">
        <w:t>…</w:t>
      </w:r>
      <w:r>
        <w:t>The total core programme cost ranged from £6,504 for 12 weeks at one facility, to around £27,500 for 5 weeks at another</w:t>
      </w:r>
      <w:r w:rsidR="00D54D9E">
        <w:t>…</w:t>
      </w:r>
      <w:r>
        <w:t xml:space="preserve">Placements across private providers </w:t>
      </w:r>
      <w:r w:rsidRPr="0005787D">
        <w:t>were</w:t>
      </w:r>
      <w:r>
        <w:t xml:space="preserve"> typically shorter (5-12 weeks) and more expensive, while third-sector providers were typically longer and less expensive (14-156 weeks)”.</w:t>
      </w:r>
      <w:r>
        <w:rPr>
          <w:rStyle w:val="FootnoteReference"/>
        </w:rPr>
        <w:footnoteReference w:id="43"/>
      </w:r>
    </w:p>
    <w:p w14:paraId="32B69938" w14:textId="5CE9D8D0" w:rsidR="008A3A09" w:rsidRDefault="008A3A09" w:rsidP="00C950D7">
      <w:pPr>
        <w:pStyle w:val="BillADPara"/>
      </w:pPr>
      <w:r>
        <w:t xml:space="preserve">In terms of average treatment timescales, </w:t>
      </w:r>
      <w:r w:rsidRPr="00BF7D1C">
        <w:t>Pathways into, through and out of Residential Rehabilitation in Scotland: Results from the Residential Rehabilitation Providers Survey</w:t>
      </w:r>
      <w:r w:rsidRPr="002F17B7">
        <w:t xml:space="preserve"> </w:t>
      </w:r>
      <w:r w:rsidR="00326CE6">
        <w:t>(</w:t>
      </w:r>
      <w:r w:rsidRPr="002F17B7">
        <w:t>November 2021</w:t>
      </w:r>
      <w:r w:rsidR="00326CE6">
        <w:t>)</w:t>
      </w:r>
      <w:r>
        <w:t>, found that:</w:t>
      </w:r>
    </w:p>
    <w:p w14:paraId="32A94FEC" w14:textId="42A67843" w:rsidR="001A7259" w:rsidRDefault="008A3A09" w:rsidP="00521F58">
      <w:pPr>
        <w:pStyle w:val="BillADQuotedText"/>
        <w:spacing w:after="240"/>
      </w:pPr>
      <w:r>
        <w:t xml:space="preserve">“The shortest core programme was 4 weeks, while one ran for 156 weeks, or 3 years. The average core programme </w:t>
      </w:r>
      <w:r w:rsidRPr="0005787D">
        <w:t>length</w:t>
      </w:r>
      <w:r>
        <w:t xml:space="preserve"> was 23 weeks. Some providers suggested that this was flexible based on individual need. Typically, private providers offered shorter programmes (between 5 and 12 weeks), while third-sector providers offered longer programmes (all over 14 weeks)”.</w:t>
      </w:r>
      <w:r w:rsidR="007724FF">
        <w:rPr>
          <w:rStyle w:val="FootnoteReference"/>
        </w:rPr>
        <w:footnoteReference w:id="44"/>
      </w:r>
    </w:p>
    <w:p w14:paraId="2451155C" w14:textId="77777777" w:rsidR="00121E6A" w:rsidRDefault="005A572E" w:rsidP="00C950D7">
      <w:pPr>
        <w:pStyle w:val="BillADPara"/>
      </w:pPr>
      <w:r>
        <w:t>In terms of waiting times for residential rehabilitation, a Public Health Scotland evaluation, published in February 2024, showed that, in 2021, out of 18 rehabilitation centres, there were waits of three weeks or more in 10 of them on an average day in that year</w:t>
      </w:r>
      <w:r w:rsidR="00121E6A">
        <w:t>.</w:t>
      </w:r>
      <w:r w:rsidRPr="00121E6A">
        <w:rPr>
          <w:vertAlign w:val="superscript"/>
        </w:rPr>
        <w:footnoteReference w:id="45"/>
      </w:r>
      <w:r w:rsidRPr="00121E6A">
        <w:rPr>
          <w:vertAlign w:val="superscript"/>
        </w:rPr>
        <w:footnoteReference w:id="46"/>
      </w:r>
    </w:p>
    <w:p w14:paraId="67517A4F" w14:textId="05F0D575" w:rsidR="005A572E" w:rsidRDefault="004A7FE1" w:rsidP="00C950D7">
      <w:pPr>
        <w:pStyle w:val="BillADPara"/>
      </w:pPr>
      <w:r>
        <w:t xml:space="preserve">Up to date figures on the weekly average cost of rehabilitation beds broken down by third sector, health board direct provision and private sector do not appear to be available. Nor do details of the waiting times for residential rehabilitation for each individual waiting more than </w:t>
      </w:r>
      <w:r w:rsidR="00A875E8">
        <w:t>three</w:t>
      </w:r>
      <w:r>
        <w:t xml:space="preserve"> weeks. This combined with the notable variations in the length of placements based on the individual’s needs </w:t>
      </w:r>
      <w:proofErr w:type="gramStart"/>
      <w:r>
        <w:t>and also</w:t>
      </w:r>
      <w:proofErr w:type="gramEnd"/>
      <w:r>
        <w:t xml:space="preserve"> the type of provider makes it challenging to assess the increase in cost under the Bill specifically in relation to an</w:t>
      </w:r>
      <w:r w:rsidR="004B1A81">
        <w:t xml:space="preserve"> anticipated need for an</w:t>
      </w:r>
      <w:r>
        <w:t xml:space="preserve"> increase </w:t>
      </w:r>
      <w:r w:rsidR="004B1A81">
        <w:t>in residential</w:t>
      </w:r>
      <w:r>
        <w:t xml:space="preserve"> rehabilitation beds. </w:t>
      </w:r>
      <w:r w:rsidR="005A572E">
        <w:t xml:space="preserve"> </w:t>
      </w:r>
    </w:p>
    <w:p w14:paraId="4AAA6442" w14:textId="1E0C9611" w:rsidR="00A019EC" w:rsidRDefault="00FD6318" w:rsidP="00D95788">
      <w:pPr>
        <w:pStyle w:val="BillADHeading3"/>
      </w:pPr>
      <w:r>
        <w:t>Community based</w:t>
      </w:r>
      <w:r w:rsidR="00A019EC">
        <w:t xml:space="preserve"> </w:t>
      </w:r>
      <w:r w:rsidR="00D54D9E">
        <w:t>treatments</w:t>
      </w:r>
      <w:r w:rsidR="00335BD2">
        <w:t xml:space="preserve"> – treatment times</w:t>
      </w:r>
    </w:p>
    <w:p w14:paraId="121AC384" w14:textId="1A95063D" w:rsidR="00121E6A" w:rsidRDefault="003F273E" w:rsidP="00C950D7">
      <w:pPr>
        <w:pStyle w:val="BillADPara"/>
      </w:pPr>
      <w:r>
        <w:t>T</w:t>
      </w:r>
      <w:r w:rsidR="00D54D9E">
        <w:t>reatment services</w:t>
      </w:r>
      <w:r>
        <w:t xml:space="preserve"> </w:t>
      </w:r>
      <w:r w:rsidR="00987FD9">
        <w:t>are</w:t>
      </w:r>
      <w:r w:rsidR="00AC33BB">
        <w:t xml:space="preserve"> in the main</w:t>
      </w:r>
      <w:r w:rsidR="00987FD9">
        <w:t xml:space="preserve"> co-ordinated by ADPs and </w:t>
      </w:r>
      <w:r w:rsidR="00D54D9E">
        <w:t>include community-based rehabilitation, detoxification services, stabilisation services and substitute prescribing services. These can also include</w:t>
      </w:r>
      <w:r>
        <w:t xml:space="preserve"> harm reduction services</w:t>
      </w:r>
      <w:r w:rsidR="00335BD2">
        <w:t>,</w:t>
      </w:r>
      <w:r w:rsidR="00987FD9">
        <w:t xml:space="preserve"> home alcohol detoxification services</w:t>
      </w:r>
      <w:r>
        <w:t xml:space="preserve"> </w:t>
      </w:r>
      <w:r w:rsidR="00D54D9E">
        <w:t>and</w:t>
      </w:r>
      <w:r>
        <w:t xml:space="preserve"> </w:t>
      </w:r>
      <w:r w:rsidR="00987FD9">
        <w:t>psycho-social interventions</w:t>
      </w:r>
      <w:r w:rsidR="00D54D9E">
        <w:t>.</w:t>
      </w:r>
      <w:r w:rsidR="00FA02D6" w:rsidRPr="00121E6A">
        <w:rPr>
          <w:vertAlign w:val="superscript"/>
        </w:rPr>
        <w:footnoteReference w:id="47"/>
      </w:r>
      <w:r w:rsidR="00FA02D6" w:rsidRPr="00121E6A">
        <w:rPr>
          <w:vertAlign w:val="superscript"/>
        </w:rPr>
        <w:footnoteReference w:id="48"/>
      </w:r>
    </w:p>
    <w:p w14:paraId="2111526E" w14:textId="77777777" w:rsidR="002E6EEF" w:rsidRDefault="00AC33BB" w:rsidP="00C950D7">
      <w:pPr>
        <w:pStyle w:val="BillADPara"/>
      </w:pPr>
      <w:r w:rsidRPr="00121E6A">
        <w:t xml:space="preserve">The Scottish Government has set a standard that 90% of people referred for help with their drug or alcohol problem will wait no longer than three weeks for treatment that supports their recovery. </w:t>
      </w:r>
      <w:r w:rsidR="00987FD9">
        <w:t>Th</w:t>
      </w:r>
      <w:r w:rsidR="008B2F1B">
        <w:t xml:space="preserve">e </w:t>
      </w:r>
      <w:r>
        <w:t xml:space="preserve">National Mission </w:t>
      </w:r>
      <w:r w:rsidR="00AF3F81">
        <w:t>Report</w:t>
      </w:r>
      <w:r w:rsidR="00987FD9">
        <w:t xml:space="preserve"> states</w:t>
      </w:r>
      <w:r w:rsidR="008B2F1B">
        <w:t>, in terms of waiting times for treatment</w:t>
      </w:r>
      <w:r w:rsidR="00335BD2">
        <w:t>,</w:t>
      </w:r>
      <w:r w:rsidR="008B2F1B">
        <w:t xml:space="preserve"> that</w:t>
      </w:r>
      <w:r w:rsidR="00987FD9">
        <w:t>:</w:t>
      </w:r>
      <w:r w:rsidR="002E6EEF">
        <w:t xml:space="preserve"> </w:t>
      </w:r>
    </w:p>
    <w:p w14:paraId="547E4C9C" w14:textId="0C4DD5D7" w:rsidR="002E6EEF" w:rsidRDefault="00987FD9" w:rsidP="005A5042">
      <w:pPr>
        <w:pStyle w:val="BillADQuotedText"/>
      </w:pPr>
      <w:r>
        <w:t xml:space="preserve">“In 2022/23, 92% of </w:t>
      </w:r>
      <w:r w:rsidRPr="0005787D">
        <w:t>referrals</w:t>
      </w:r>
      <w:r>
        <w:t xml:space="preserve"> for community-based specialist drug or co-dependency treatment resulted in treatment starting within three weeks or less. This is in line with 2021/22, but lower than in 2020/21 when 95% of referrals resulting in treatment </w:t>
      </w:r>
      <w:r w:rsidR="00B172BA">
        <w:t>[</w:t>
      </w:r>
      <w:r>
        <w:t>start</w:t>
      </w:r>
      <w:r w:rsidR="00B172BA">
        <w:t>ed]</w:t>
      </w:r>
      <w:r>
        <w:t xml:space="preserve"> within three weeks or less”.</w:t>
      </w:r>
      <w:r>
        <w:rPr>
          <w:rStyle w:val="FootnoteReference"/>
        </w:rPr>
        <w:footnoteReference w:id="49"/>
      </w:r>
    </w:p>
    <w:p w14:paraId="55B49DAB" w14:textId="77777777" w:rsidR="00A875E8" w:rsidRDefault="00335BD2" w:rsidP="00C950D7">
      <w:pPr>
        <w:pStyle w:val="BillADPara"/>
      </w:pPr>
      <w:r>
        <w:t>Figures</w:t>
      </w:r>
      <w:r w:rsidR="008B2F1B" w:rsidRPr="00EE530C">
        <w:t xml:space="preserve"> for the fourth quarter of 2024</w:t>
      </w:r>
      <w:r w:rsidR="008B2F1B" w:rsidRPr="00EE530C">
        <w:rPr>
          <w:rStyle w:val="FootnoteReference"/>
        </w:rPr>
        <w:footnoteReference w:id="50"/>
      </w:r>
      <w:r w:rsidR="008B2F1B" w:rsidRPr="00EE530C">
        <w:t xml:space="preserve"> show that 7,316 referrals to community-based treatment started treatment in that quarter, and that 90.5% involved a wait of three weeks or less.</w:t>
      </w:r>
    </w:p>
    <w:p w14:paraId="4095D00D" w14:textId="7F62D9A1" w:rsidR="00A875E8" w:rsidRDefault="008B2F1B" w:rsidP="00C950D7">
      <w:pPr>
        <w:pStyle w:val="BillADPara"/>
      </w:pPr>
      <w:r w:rsidRPr="00EE530C">
        <w:t xml:space="preserve">In terms of the numbers of people waiting more than </w:t>
      </w:r>
      <w:r w:rsidR="00A875E8">
        <w:t>three</w:t>
      </w:r>
      <w:r w:rsidRPr="00EE530C">
        <w:t xml:space="preserve"> weeks at any given time, </w:t>
      </w:r>
      <w:r w:rsidR="00FD6318" w:rsidRPr="00EE530C">
        <w:t xml:space="preserve">Public Health Scotland’s statistical release, </w:t>
      </w:r>
      <w:r w:rsidR="00FD6318" w:rsidRPr="00094AB1">
        <w:rPr>
          <w:i/>
          <w:iCs/>
        </w:rPr>
        <w:t>National Drug and Alcohol Treatment Waiting Times: 1 July 2023 to 30 September 2023</w:t>
      </w:r>
      <w:r w:rsidR="00FD6318" w:rsidRPr="00EE530C">
        <w:t xml:space="preserve">, </w:t>
      </w:r>
      <w:r w:rsidRPr="00EE530C">
        <w:t xml:space="preserve">states that </w:t>
      </w:r>
      <w:r w:rsidR="004A1356" w:rsidRPr="00EE530C">
        <w:t xml:space="preserve">as </w:t>
      </w:r>
      <w:proofErr w:type="gramStart"/>
      <w:r w:rsidR="004A1356" w:rsidRPr="00EE530C">
        <w:t>at</w:t>
      </w:r>
      <w:proofErr w:type="gramEnd"/>
      <w:r w:rsidR="004A1356" w:rsidRPr="00EE530C">
        <w:t xml:space="preserve"> 30 September 2023, 534 </w:t>
      </w:r>
      <w:r w:rsidR="004B1A81">
        <w:t xml:space="preserve">people who </w:t>
      </w:r>
      <w:r w:rsidR="004A1356" w:rsidRPr="00EE530C">
        <w:t xml:space="preserve">were waiting for treatment </w:t>
      </w:r>
      <w:r w:rsidR="00335BD2">
        <w:t xml:space="preserve">had </w:t>
      </w:r>
      <w:r w:rsidR="004A1356" w:rsidRPr="00EE530C">
        <w:t>been on a waiting list for longer than three weeks.</w:t>
      </w:r>
      <w:r w:rsidR="004A1356" w:rsidRPr="00EE530C">
        <w:rPr>
          <w:rStyle w:val="FootnoteReference"/>
        </w:rPr>
        <w:footnoteReference w:id="51"/>
      </w:r>
    </w:p>
    <w:p w14:paraId="781E4D30" w14:textId="01F42E3E" w:rsidR="00A875E8" w:rsidRDefault="005A572E" w:rsidP="00C950D7">
      <w:pPr>
        <w:pStyle w:val="BillADPara"/>
      </w:pPr>
      <w:r w:rsidRPr="00EE530C">
        <w:t xml:space="preserve">Figures breaking down the number of delays of over </w:t>
      </w:r>
      <w:r w:rsidR="00A875E8">
        <w:t>three</w:t>
      </w:r>
      <w:r w:rsidRPr="00EE530C">
        <w:t xml:space="preserve"> weeks by </w:t>
      </w:r>
      <w:r w:rsidR="00D95788" w:rsidRPr="00EE530C">
        <w:t xml:space="preserve">specific </w:t>
      </w:r>
      <w:r w:rsidRPr="00EE530C">
        <w:t>type of treatment service</w:t>
      </w:r>
      <w:r w:rsidR="004A7FE1" w:rsidRPr="00EE530C">
        <w:t>, or length of delay,</w:t>
      </w:r>
      <w:r w:rsidRPr="00EE530C">
        <w:t xml:space="preserve"> do not appear to be available</w:t>
      </w:r>
      <w:r w:rsidR="00922317" w:rsidRPr="00EE530C">
        <w:t xml:space="preserve"> in full</w:t>
      </w:r>
      <w:r w:rsidRPr="00EE530C">
        <w:t xml:space="preserve">, preventing an assessment on a treatment service by treatment service basis of the </w:t>
      </w:r>
      <w:r w:rsidR="004A7FE1" w:rsidRPr="00EE530C">
        <w:t>length</w:t>
      </w:r>
      <w:r w:rsidRPr="00EE530C">
        <w:t xml:space="preserve"> of the waiting times.</w:t>
      </w:r>
      <w:r w:rsidR="00313384" w:rsidRPr="00EE530C">
        <w:t xml:space="preserve"> </w:t>
      </w:r>
      <w:proofErr w:type="gramStart"/>
      <w:r w:rsidRPr="00EE530C">
        <w:t>It is clear that some</w:t>
      </w:r>
      <w:proofErr w:type="gramEnd"/>
      <w:r w:rsidRPr="00EE530C">
        <w:t xml:space="preserve"> treatment services have less than 90.5% of </w:t>
      </w:r>
      <w:r w:rsidR="00922317" w:rsidRPr="00EE530C">
        <w:t>referrals</w:t>
      </w:r>
      <w:r w:rsidRPr="00EE530C">
        <w:t xml:space="preserve"> receiving treatment within </w:t>
      </w:r>
      <w:r w:rsidR="00A875E8">
        <w:t>three</w:t>
      </w:r>
      <w:r w:rsidRPr="00EE530C">
        <w:t xml:space="preserve"> weeks</w:t>
      </w:r>
      <w:r w:rsidR="004A7FE1" w:rsidRPr="00EE530C">
        <w:t>.</w:t>
      </w:r>
    </w:p>
    <w:p w14:paraId="112E7955" w14:textId="294D1574" w:rsidR="00844200" w:rsidRDefault="00922317" w:rsidP="00C950D7">
      <w:pPr>
        <w:pStyle w:val="BillADPara"/>
      </w:pPr>
      <w:r w:rsidRPr="00EE530C">
        <w:t xml:space="preserve">For example, </w:t>
      </w:r>
      <w:r w:rsidR="004A7FE1" w:rsidRPr="00EE530C">
        <w:t>Turning Point Scotland representatives suggested that waiting lists for their stabilisation services were high advising that</w:t>
      </w:r>
      <w:proofErr w:type="gramStart"/>
      <w:r w:rsidR="004A7FE1" w:rsidRPr="00EE530C">
        <w:t>, generally speaking, waiting</w:t>
      </w:r>
      <w:proofErr w:type="gramEnd"/>
      <w:r w:rsidR="004A7FE1" w:rsidRPr="00EE530C">
        <w:t xml:space="preserve"> lists for their services were around double the number of placements available</w:t>
      </w:r>
      <w:r w:rsidR="00611B52">
        <w:t>.</w:t>
      </w:r>
      <w:r w:rsidR="004A7FE1" w:rsidRPr="00EE530C">
        <w:rPr>
          <w:rStyle w:val="FootnoteReference"/>
        </w:rPr>
        <w:footnoteReference w:id="52"/>
      </w:r>
    </w:p>
    <w:p w14:paraId="33AC0E4D" w14:textId="33830EBD" w:rsidR="00844200" w:rsidRDefault="009817A9" w:rsidP="00C950D7">
      <w:pPr>
        <w:pStyle w:val="BillADPara"/>
      </w:pPr>
      <w:r>
        <w:t xml:space="preserve">In relation to residential rehabilitation </w:t>
      </w:r>
      <w:r w:rsidRPr="00DA26E9">
        <w:t>Pathways into, through and out of Residential Rehabilitation in Scotland: Results from the Residential Rehabilitation Providers Survey</w:t>
      </w:r>
      <w:r w:rsidRPr="00521F58">
        <w:t xml:space="preserve"> (www.gov.scot)</w:t>
      </w:r>
      <w:r>
        <w:t xml:space="preserve"> (page 22) states: </w:t>
      </w:r>
    </w:p>
    <w:p w14:paraId="053042C6" w14:textId="1D3AB78D" w:rsidR="00844200" w:rsidRDefault="009817A9" w:rsidP="005A5042">
      <w:pPr>
        <w:pStyle w:val="BillADQuotedText"/>
      </w:pPr>
      <w:r>
        <w:t>“Thirteen of the 20 facilities (65%) reported maintaining waiting lists to access residential treatment at the time of survey. A total of 261 individuals across these 13 facilities were on waiting lists at the time of survey. Average waiting times ranged widely across these two years. In 2019/20, average waiting times ranged from less than a week (n=5, 25%) up to 6 months (n=1, 5%). In 2020/21 two institutions reported waiting periods of 8 and 9 months. Waiting lists were primarily maintained due to demand outstripping capacity for residential rehabilitation at these facilities.”</w:t>
      </w:r>
      <w:r w:rsidR="004B1A81">
        <w:rPr>
          <w:rStyle w:val="FootnoteReference"/>
        </w:rPr>
        <w:footnoteReference w:id="53"/>
      </w:r>
      <w:r w:rsidR="00BD33DC">
        <w:t xml:space="preserve"> </w:t>
      </w:r>
    </w:p>
    <w:p w14:paraId="5A55266F" w14:textId="0CE696B5" w:rsidR="004A7FE1" w:rsidRDefault="004A7FE1" w:rsidP="00C950D7">
      <w:pPr>
        <w:pStyle w:val="BillADPara"/>
      </w:pPr>
      <w:r>
        <w:t xml:space="preserve">It is reasonable to assume, for the purposes of calculating the required increase in service provision, that treatments requiring some form of residential stay </w:t>
      </w:r>
      <w:r w:rsidR="004B1A81">
        <w:t>could</w:t>
      </w:r>
      <w:r>
        <w:t xml:space="preserve"> make up a si</w:t>
      </w:r>
      <w:r w:rsidR="004B1A81">
        <w:t>zeable</w:t>
      </w:r>
      <w:r>
        <w:t xml:space="preserve"> proportion of </w:t>
      </w:r>
      <w:r w:rsidR="00922317">
        <w:t>those</w:t>
      </w:r>
      <w:r w:rsidR="006C25AB">
        <w:t xml:space="preserve"> on waiting lists for more than </w:t>
      </w:r>
      <w:r w:rsidR="00A875E8">
        <w:t>three</w:t>
      </w:r>
      <w:r w:rsidR="006C25AB">
        <w:t xml:space="preserve"> weeks</w:t>
      </w:r>
      <w:r w:rsidR="00922317">
        <w:t>.</w:t>
      </w:r>
      <w:r w:rsidR="006C25AB">
        <w:t xml:space="preserve"> </w:t>
      </w:r>
      <w:r w:rsidR="009817A9">
        <w:t xml:space="preserve">In addition, based on the information above on residential rehabilitation, it is reasonable to assume that a number of those people will have been waiting for a long period, including some </w:t>
      </w:r>
      <w:r w:rsidR="00922317">
        <w:t>waiting for up to 6 months or longer</w:t>
      </w:r>
      <w:r w:rsidR="009817A9">
        <w:t>.</w:t>
      </w:r>
    </w:p>
    <w:p w14:paraId="5A27CD15" w14:textId="3983A236" w:rsidR="00AE14D7" w:rsidRPr="000500E2" w:rsidRDefault="000500E2" w:rsidP="000500E2">
      <w:pPr>
        <w:pStyle w:val="BillADHeading4"/>
      </w:pPr>
      <w:r>
        <w:t>Estimat</w:t>
      </w:r>
      <w:r w:rsidR="00BF7DF8" w:rsidRPr="000500E2">
        <w:t>ing number of people yet to be diagnosed</w:t>
      </w:r>
    </w:p>
    <w:p w14:paraId="43F37BEA" w14:textId="20DCF570" w:rsidR="00AE14D7" w:rsidRDefault="00AE14D7" w:rsidP="00C950D7">
      <w:pPr>
        <w:pStyle w:val="BillADPara"/>
      </w:pPr>
      <w:r w:rsidRPr="00094AB1">
        <w:rPr>
          <w:i/>
          <w:iCs/>
        </w:rPr>
        <w:t>The National Mission on Drugs: Annual Monitoring Report 2022-2023</w:t>
      </w:r>
      <w:r>
        <w:t xml:space="preserve"> </w:t>
      </w:r>
      <w:r w:rsidR="00BF7DF8">
        <w:t>considered the “hidden population” of people using drugs in Scotland</w:t>
      </w:r>
      <w:r>
        <w:t>:</w:t>
      </w:r>
    </w:p>
    <w:p w14:paraId="6EE59F50" w14:textId="6CFF421D" w:rsidR="00AE14D7" w:rsidRDefault="00AE14D7" w:rsidP="00C2094A">
      <w:pPr>
        <w:pStyle w:val="BillADQuotedText"/>
      </w:pPr>
      <w:r w:rsidRPr="0078254A">
        <w:t xml:space="preserve">“It is not currently possible to determine trends in the prevalence of problem drug use, for either the general population or young people. The latest data available from the Scottish Health Survey suggests that the percentage of people in Scotland who self-report having a current problem with their drug use is </w:t>
      </w:r>
      <w:proofErr w:type="gramStart"/>
      <w:r w:rsidRPr="0078254A">
        <w:t>fairly low</w:t>
      </w:r>
      <w:proofErr w:type="gramEnd"/>
      <w:r w:rsidRPr="0078254A">
        <w:t>. However, it is generally accepted that people who use drugs are in part a hidden population and are not well represented in population level surveys. Between the survey data and the most recent prevalence estimates (from 2015/16), it would be reasonable to conclude that there is still a sizeable population of people with problem drug use in Scotland.</w:t>
      </w:r>
    </w:p>
    <w:p w14:paraId="7A1DC20F" w14:textId="17984793" w:rsidR="00AE14D7" w:rsidRDefault="00AE14D7" w:rsidP="00C2094A">
      <w:pPr>
        <w:pStyle w:val="BillADQuotedText"/>
        <w:spacing w:after="240"/>
      </w:pPr>
      <w:r>
        <w:t xml:space="preserve">As a </w:t>
      </w:r>
      <w:r w:rsidRPr="004C2011">
        <w:t>hidden</w:t>
      </w:r>
      <w:r>
        <w:t xml:space="preserve"> population, measuring how many people use drugs problematically is challenging. The Scottish Government is funding a collaborative project between PHS [Public Health Scotland] and the University of Bristol to produce a new estimate of the prevalence of problematic drug use in Scotland”.</w:t>
      </w:r>
      <w:r>
        <w:rPr>
          <w:rStyle w:val="FootnoteReference"/>
        </w:rPr>
        <w:footnoteReference w:id="54"/>
      </w:r>
    </w:p>
    <w:p w14:paraId="118E0367" w14:textId="1454AC1B" w:rsidR="00BF7DF8" w:rsidRPr="007C4D57" w:rsidRDefault="00BF7DF8" w:rsidP="00C950D7">
      <w:pPr>
        <w:pStyle w:val="BillADPara"/>
      </w:pPr>
      <w:r w:rsidRPr="007C4D57">
        <w:t>Combine this “hidden population” with the number of people estimated to drink to a harmful extent in Scotland and it is reasonable to assume there will be a sizeable cohort of people within these groups that are addicted to some form of drug(s) and/or alcohol.</w:t>
      </w:r>
    </w:p>
    <w:p w14:paraId="748EDA0B" w14:textId="73A30DB2" w:rsidR="00CB1379" w:rsidRDefault="00AE14D7" w:rsidP="00C950D7">
      <w:pPr>
        <w:pStyle w:val="BillADPara"/>
      </w:pPr>
      <w:r>
        <w:t>I</w:t>
      </w:r>
      <w:r w:rsidR="00BF7DF8">
        <w:t xml:space="preserve">n advance of the completion of the </w:t>
      </w:r>
      <w:r w:rsidR="009817A9">
        <w:t xml:space="preserve">kind of </w:t>
      </w:r>
      <w:r w:rsidR="00BF7DF8">
        <w:t xml:space="preserve">research mentioned above, it </w:t>
      </w:r>
      <w:r w:rsidRPr="0078254A">
        <w:t>is</w:t>
      </w:r>
      <w:r w:rsidR="00CB1379">
        <w:t xml:space="preserve"> </w:t>
      </w:r>
      <w:r w:rsidRPr="0078254A">
        <w:t xml:space="preserve">exceptionally challenging to put a precise figure on the </w:t>
      </w:r>
      <w:r>
        <w:t>number of people in Scotland who</w:t>
      </w:r>
      <w:r w:rsidR="00CB1379">
        <w:t xml:space="preserve"> </w:t>
      </w:r>
      <w:r>
        <w:t>currently</w:t>
      </w:r>
      <w:r w:rsidR="009817A9">
        <w:t xml:space="preserve"> are</w:t>
      </w:r>
      <w:r>
        <w:t xml:space="preserve"> addicted to drugs and/or alcohol but who are </w:t>
      </w:r>
      <w:proofErr w:type="gramStart"/>
      <w:r>
        <w:t>as yet</w:t>
      </w:r>
      <w:proofErr w:type="gramEnd"/>
      <w:r>
        <w:t xml:space="preserve"> undiagnosed</w:t>
      </w:r>
      <w:r w:rsidR="00CB1379">
        <w:t xml:space="preserve"> or seeking any form of treatment. </w:t>
      </w:r>
      <w:r>
        <w:t xml:space="preserve">It is </w:t>
      </w:r>
      <w:r w:rsidR="00335BD2">
        <w:t xml:space="preserve">therefore </w:t>
      </w:r>
      <w:r>
        <w:t xml:space="preserve">also not possible to anticipate the extent to which this cohort would seek diagnosis and referral for treatment </w:t>
      </w:r>
      <w:proofErr w:type="gramStart"/>
      <w:r>
        <w:t>on the basis of</w:t>
      </w:r>
      <w:proofErr w:type="gramEnd"/>
      <w:r>
        <w:t xml:space="preserve"> the implementation of this Bill</w:t>
      </w:r>
      <w:r w:rsidR="00335BD2">
        <w:t>,</w:t>
      </w:r>
      <w:r>
        <w:t xml:space="preserve"> including</w:t>
      </w:r>
      <w:r w:rsidR="00CB1379">
        <w:t xml:space="preserve"> as a result of</w:t>
      </w:r>
      <w:r>
        <w:t xml:space="preserve"> </w:t>
      </w:r>
      <w:r w:rsidR="00BF7DF8">
        <w:t xml:space="preserve">being encouraged to do so through </w:t>
      </w:r>
      <w:r>
        <w:t>any associated public awareness campaigns.</w:t>
      </w:r>
      <w:r w:rsidR="004B1A81">
        <w:rPr>
          <w:rStyle w:val="FootnoteReference"/>
        </w:rPr>
        <w:footnoteReference w:id="55"/>
      </w:r>
    </w:p>
    <w:p w14:paraId="29B74226" w14:textId="5CDEDA44" w:rsidR="00BF7DF8" w:rsidRDefault="00AE14D7" w:rsidP="00C950D7">
      <w:pPr>
        <w:pStyle w:val="BillADPara"/>
      </w:pPr>
      <w:r>
        <w:t>However,</w:t>
      </w:r>
      <w:r w:rsidR="00CB1379">
        <w:t xml:space="preserve"> it is reasonable to assume that a large proportion of those who at present are diagnosed and referred for treatment, but then do not undertake treatment, would be </w:t>
      </w:r>
      <w:proofErr w:type="gramStart"/>
      <w:r w:rsidR="00CB1379">
        <w:t>in a position</w:t>
      </w:r>
      <w:proofErr w:type="gramEnd"/>
      <w:r w:rsidR="00CB1379">
        <w:t xml:space="preserve"> to engage with treatment under the new approach established by the Bill</w:t>
      </w:r>
      <w:r w:rsidR="009817A9">
        <w:t xml:space="preserve"> and </w:t>
      </w:r>
      <w:r w:rsidR="00922317">
        <w:t xml:space="preserve">therefore </w:t>
      </w:r>
      <w:r w:rsidR="009817A9">
        <w:t>th</w:t>
      </w:r>
      <w:r w:rsidR="00922317">
        <w:t>e numbers in this group</w:t>
      </w:r>
      <w:r w:rsidR="009817A9">
        <w:t xml:space="preserve"> can form a basis for the assessment of costs associated with the Bill.</w:t>
      </w:r>
    </w:p>
    <w:p w14:paraId="7D027B94" w14:textId="77777777" w:rsidR="00EB0526" w:rsidRDefault="00CB1379" w:rsidP="00C950D7">
      <w:pPr>
        <w:pStyle w:val="BillADPara"/>
      </w:pPr>
      <w:r>
        <w:t xml:space="preserve">As noted above, </w:t>
      </w:r>
      <w:r w:rsidR="00BF7DF8">
        <w:t xml:space="preserve">quarterly figures showed that: </w:t>
      </w:r>
    </w:p>
    <w:p w14:paraId="7BB1CFFE" w14:textId="77777777" w:rsidR="00EB0526" w:rsidRDefault="00BF7DF8" w:rsidP="00C950D7">
      <w:pPr>
        <w:pStyle w:val="BillADPara"/>
      </w:pPr>
      <w:r>
        <w:t xml:space="preserve">“3,097 (31.0%) </w:t>
      </w:r>
      <w:r w:rsidR="00CB1379">
        <w:t xml:space="preserve">of </w:t>
      </w:r>
      <w:r>
        <w:t>referrals to community-based services were discharged before starting treatment</w:t>
      </w:r>
      <w:proofErr w:type="gramStart"/>
      <w:r>
        <w:t>…[</w:t>
      </w:r>
      <w:proofErr w:type="gramEnd"/>
      <w:r>
        <w:t>of these] 79.3% (2,459) were discharged and recorded as treatment incomplete due to reasons including the person disengaged, was unable to engage, or declined treatment, the referral was considered inappropriate by the service, or the treatment was withdrawn by the service.”</w:t>
      </w:r>
      <w:r w:rsidR="009817A9">
        <w:t xml:space="preserve"> </w:t>
      </w:r>
    </w:p>
    <w:p w14:paraId="2FE49D7A" w14:textId="4840DED8" w:rsidR="00BF7DF8" w:rsidRDefault="009817A9" w:rsidP="00C950D7">
      <w:pPr>
        <w:pStyle w:val="BillADPara"/>
      </w:pPr>
      <w:r>
        <w:t xml:space="preserve">Note that this is the number of referrals that were discharged, there will be plenty of instances where people are referred for numerous treatments, so it cannot be assumed that every discharge </w:t>
      </w:r>
      <w:r w:rsidR="00922317">
        <w:t>of the 3,097</w:t>
      </w:r>
      <w:r>
        <w:t xml:space="preserve"> equates to the same number of people </w:t>
      </w:r>
      <w:r w:rsidR="00DC3DE0">
        <w:t>discharged from treatment</w:t>
      </w:r>
      <w:r>
        <w:t xml:space="preserve">. Many of the people discharged </w:t>
      </w:r>
      <w:r w:rsidR="00DC3DE0">
        <w:t>from one</w:t>
      </w:r>
      <w:r>
        <w:t xml:space="preserve"> treatment will still be in receipt of another</w:t>
      </w:r>
      <w:r w:rsidR="00335043">
        <w:t>.</w:t>
      </w:r>
      <w:r w:rsidRPr="00EB0526">
        <w:rPr>
          <w:vertAlign w:val="superscript"/>
        </w:rPr>
        <w:footnoteReference w:id="56"/>
      </w:r>
    </w:p>
    <w:p w14:paraId="5BD1D43B" w14:textId="39A5C91B" w:rsidR="00BF7DF8" w:rsidRDefault="00CB1379" w:rsidP="00C950D7">
      <w:pPr>
        <w:pStyle w:val="BillADPara"/>
      </w:pPr>
      <w:r>
        <w:t xml:space="preserve">Under the provisions of the </w:t>
      </w:r>
      <w:proofErr w:type="gramStart"/>
      <w:r>
        <w:t>Bill</w:t>
      </w:r>
      <w:proofErr w:type="gramEnd"/>
      <w:r>
        <w:t xml:space="preserve"> it is more likely </w:t>
      </w:r>
      <w:r w:rsidR="00BF7DF8">
        <w:t>people will complete treatment</w:t>
      </w:r>
      <w:r>
        <w:t xml:space="preserve"> as</w:t>
      </w:r>
      <w:r w:rsidR="00BF7DF8">
        <w:t>:</w:t>
      </w:r>
      <w:r>
        <w:t xml:space="preserve"> </w:t>
      </w:r>
    </w:p>
    <w:p w14:paraId="7C6A12F6" w14:textId="4AC6FEE8" w:rsidR="00BF7DF8" w:rsidRDefault="00CB1379" w:rsidP="00383D6A">
      <w:pPr>
        <w:pStyle w:val="BillADBullet"/>
      </w:pPr>
      <w:r>
        <w:t xml:space="preserve">they </w:t>
      </w:r>
      <w:r w:rsidR="00335BD2">
        <w:t>may</w:t>
      </w:r>
      <w:r>
        <w:t xml:space="preserve"> </w:t>
      </w:r>
      <w:r w:rsidR="00732C70">
        <w:t xml:space="preserve">feel </w:t>
      </w:r>
      <w:r w:rsidR="00335BD2">
        <w:t xml:space="preserve">more </w:t>
      </w:r>
      <w:r w:rsidR="00732C70">
        <w:t xml:space="preserve">involved in the </w:t>
      </w:r>
      <w:proofErr w:type="gramStart"/>
      <w:r w:rsidR="00732C70">
        <w:t>decision making</w:t>
      </w:r>
      <w:proofErr w:type="gramEnd"/>
      <w:r w:rsidR="00732C70">
        <w:t xml:space="preserve"> process and </w:t>
      </w:r>
      <w:r>
        <w:t>have an increased understanding of what the treatment they have been referred to consists of and why it is appropriate for them</w:t>
      </w:r>
      <w:r w:rsidR="00BF7DF8">
        <w:t>;</w:t>
      </w:r>
    </w:p>
    <w:p w14:paraId="3C2BA024" w14:textId="7F1AC721" w:rsidR="00BF7DF8" w:rsidRDefault="00CB1379" w:rsidP="00383D6A">
      <w:pPr>
        <w:pStyle w:val="BillADBullet"/>
      </w:pPr>
      <w:r>
        <w:t xml:space="preserve">more people will receive treatment referrals appropriate to them due to their contribution to the discussion with the relevant health professional who is deciding on their </w:t>
      </w:r>
      <w:proofErr w:type="gramStart"/>
      <w:r>
        <w:t>treatment</w:t>
      </w:r>
      <w:r w:rsidR="00BF7DF8">
        <w:t>;</w:t>
      </w:r>
      <w:proofErr w:type="gramEnd"/>
    </w:p>
    <w:p w14:paraId="5E26F3EF" w14:textId="09C2EBBD" w:rsidR="00BF7DF8" w:rsidRDefault="00CB1379" w:rsidP="00383D6A">
      <w:pPr>
        <w:pStyle w:val="BillADBullet"/>
      </w:pPr>
      <w:r>
        <w:t>on referral individuals cannot be refused treatment for numerous reasons set out in the Bill</w:t>
      </w:r>
      <w:r w:rsidR="00BF7DF8">
        <w:t xml:space="preserve"> meaning</w:t>
      </w:r>
      <w:r>
        <w:t xml:space="preserve"> there would be a reduced number of situations where “the referral was considered inappropriate by the service,</w:t>
      </w:r>
      <w:r w:rsidR="00BF7DF8">
        <w:t>”</w:t>
      </w:r>
      <w:r w:rsidR="004B1A81">
        <w:rPr>
          <w:rStyle w:val="FootnoteReference"/>
        </w:rPr>
        <w:footnoteReference w:id="57"/>
      </w:r>
    </w:p>
    <w:p w14:paraId="5016311E" w14:textId="43C566C3" w:rsidR="00BF7DF8" w:rsidRDefault="00BF7DF8" w:rsidP="00383D6A">
      <w:pPr>
        <w:pStyle w:val="BillADBullet"/>
      </w:pPr>
      <w:r>
        <w:t>increased availability of treatment services under this Bill (and ongoing Government work) will mean</w:t>
      </w:r>
      <w:r w:rsidR="00335BD2">
        <w:t xml:space="preserve"> many</w:t>
      </w:r>
      <w:r>
        <w:t xml:space="preserve"> treatments </w:t>
      </w:r>
      <w:r w:rsidR="00335BD2">
        <w:t>will be available when needed (</w:t>
      </w:r>
      <w:proofErr w:type="spellStart"/>
      <w:proofErr w:type="gramStart"/>
      <w:r w:rsidR="00335BD2">
        <w:t>ie</w:t>
      </w:r>
      <w:proofErr w:type="spellEnd"/>
      <w:proofErr w:type="gramEnd"/>
      <w:r w:rsidR="00335BD2">
        <w:t xml:space="preserve"> more quickly) and </w:t>
      </w:r>
      <w:r>
        <w:t>may be available closer to the homes of the patients and therefore easier to take up</w:t>
      </w:r>
      <w:r w:rsidR="00DC3DE0">
        <w:t xml:space="preserve"> (increased services levels for other target groups such as those with children may also increase take-up)</w:t>
      </w:r>
      <w:r>
        <w:t>;</w:t>
      </w:r>
    </w:p>
    <w:p w14:paraId="45EFA715" w14:textId="5779539E" w:rsidR="00CB1379" w:rsidRDefault="00DC3DE0" w:rsidP="00383D6A">
      <w:pPr>
        <w:pStyle w:val="BillADBullet"/>
        <w:spacing w:after="240"/>
      </w:pPr>
      <w:r>
        <w:t xml:space="preserve">funding under this Bill for </w:t>
      </w:r>
      <w:r w:rsidR="00BF7DF8">
        <w:t>increased service provision will also make closure of vital services less likely, and this would reduce the instances of discharge because</w:t>
      </w:r>
      <w:r w:rsidR="00CB1379">
        <w:t xml:space="preserve"> </w:t>
      </w:r>
      <w:r w:rsidR="00BF7DF8">
        <w:t>“</w:t>
      </w:r>
      <w:r w:rsidR="00CB1379">
        <w:t>the treatment was withdrawn by the service.”</w:t>
      </w:r>
      <w:r w:rsidR="004B1A81">
        <w:rPr>
          <w:rStyle w:val="FootnoteReference"/>
        </w:rPr>
        <w:footnoteReference w:id="58"/>
      </w:r>
    </w:p>
    <w:p w14:paraId="374C3349" w14:textId="257E2F91" w:rsidR="00CB1379" w:rsidRPr="00FE356D" w:rsidRDefault="00F708CE" w:rsidP="00FE356D">
      <w:pPr>
        <w:pStyle w:val="BillADHeading2"/>
      </w:pPr>
      <w:r>
        <w:t>Costs on the Scottish Administration</w:t>
      </w:r>
    </w:p>
    <w:p w14:paraId="6A7A5B60" w14:textId="7C2C6D02" w:rsidR="00CB1379" w:rsidRDefault="00CB1379" w:rsidP="00C950D7">
      <w:pPr>
        <w:pStyle w:val="BillADPara"/>
      </w:pPr>
      <w:r>
        <w:t>All figures set out in this section are drawn from earlier sections in this Memorandum and cross referenced to allow the reader to refer to the source of that data and any relevant caveats relating to each individual figure</w:t>
      </w:r>
      <w:r w:rsidR="00FE356D">
        <w:t xml:space="preserve"> </w:t>
      </w:r>
      <w:r w:rsidR="005E161C">
        <w:t xml:space="preserve">The cost of the increased drug and alcohol treatment service provision required under this Bill is calculated </w:t>
      </w:r>
      <w:r w:rsidR="7F6ECCE0">
        <w:t>below.</w:t>
      </w:r>
      <w:r w:rsidR="005E161C">
        <w:t xml:space="preserve"> </w:t>
      </w:r>
    </w:p>
    <w:p w14:paraId="6E8E79E3" w14:textId="600AB57F" w:rsidR="004B1A81" w:rsidRDefault="007A57A8" w:rsidP="00C950D7">
      <w:pPr>
        <w:pStyle w:val="BillADPara"/>
      </w:pPr>
      <w:r>
        <w:t xml:space="preserve">As highlighted in paragraphs 34 and 54 of this Memorandum, </w:t>
      </w:r>
      <w:r w:rsidR="00CB1379">
        <w:t xml:space="preserve">69% of </w:t>
      </w:r>
      <w:r w:rsidR="00FE356D">
        <w:t xml:space="preserve">referrals for treatments result in treatment being </w:t>
      </w:r>
      <w:r w:rsidR="00183FCD">
        <w:t>completed</w:t>
      </w:r>
      <w:r w:rsidR="00FE356D">
        <w:t xml:space="preserve"> (to at least some extent) and </w:t>
      </w:r>
      <w:r w:rsidR="00CB1379">
        <w:t xml:space="preserve">31% </w:t>
      </w:r>
      <w:r w:rsidR="00FE356D">
        <w:t xml:space="preserve">of </w:t>
      </w:r>
      <w:r w:rsidR="00913262">
        <w:t>referrals (3,097 referrals)</w:t>
      </w:r>
      <w:r w:rsidR="00FE356D">
        <w:t xml:space="preserve"> are </w:t>
      </w:r>
      <w:r w:rsidR="00183FCD">
        <w:t>discharged before treatment</w:t>
      </w:r>
      <w:r w:rsidR="004B1A81">
        <w:t xml:space="preserve"> commences</w:t>
      </w:r>
      <w:r w:rsidR="00BA2C59">
        <w:rPr>
          <w:rStyle w:val="FootnoteReference"/>
        </w:rPr>
        <w:footnoteReference w:id="59"/>
      </w:r>
      <w:r w:rsidR="00FE356D">
        <w:t>.</w:t>
      </w:r>
      <w:r w:rsidR="00183FCD">
        <w:t xml:space="preserve"> 79</w:t>
      </w:r>
      <w:r w:rsidR="00DC3DE0">
        <w:t>.3</w:t>
      </w:r>
      <w:r w:rsidR="00183FCD">
        <w:t>%</w:t>
      </w:r>
      <w:r w:rsidR="00FE356D">
        <w:t xml:space="preserve"> of this 31% of </w:t>
      </w:r>
      <w:r w:rsidR="00913262">
        <w:t xml:space="preserve">referrals do </w:t>
      </w:r>
      <w:r w:rsidR="00FE356D">
        <w:t xml:space="preserve">not </w:t>
      </w:r>
      <w:r w:rsidR="00DC3DE0">
        <w:t>com</w:t>
      </w:r>
      <w:r w:rsidR="313EF720">
        <w:t>mence</w:t>
      </w:r>
      <w:r w:rsidR="00913262">
        <w:t xml:space="preserve"> treatment</w:t>
      </w:r>
      <w:r w:rsidR="00DC3DE0">
        <w:t xml:space="preserve"> for reasons</w:t>
      </w:r>
      <w:r w:rsidR="00FE356D">
        <w:t xml:space="preserve"> relating to engagement from the individual or withdrawal of the</w:t>
      </w:r>
      <w:r w:rsidR="00493392">
        <w:t xml:space="preserve"> treatment or</w:t>
      </w:r>
      <w:r w:rsidR="00FE356D">
        <w:t xml:space="preserve"> service for any reason</w:t>
      </w:r>
      <w:r w:rsidR="00CB2D73">
        <w:t xml:space="preserve"> (see Public Health Scotland data referred to in paragraph 34)</w:t>
      </w:r>
      <w:r w:rsidR="00FE356D">
        <w:t>. This represents 24.</w:t>
      </w:r>
      <w:r w:rsidR="00524DC9">
        <w:t>6</w:t>
      </w:r>
      <w:r w:rsidR="00FE356D">
        <w:t>% of all treatment</w:t>
      </w:r>
      <w:r w:rsidR="003E2353">
        <w:t xml:space="preserve"> referrals</w:t>
      </w:r>
      <w:r w:rsidR="00FE356D">
        <w:t>.</w:t>
      </w:r>
      <w:r w:rsidR="00183FCD">
        <w:t xml:space="preserve"> </w:t>
      </w:r>
    </w:p>
    <w:p w14:paraId="33A3F49A" w14:textId="1642B6AB" w:rsidR="004B1A81" w:rsidRDefault="00FE356D" w:rsidP="00C950D7">
      <w:pPr>
        <w:pStyle w:val="BillADPara"/>
      </w:pPr>
      <w:r>
        <w:t>It is assumed that</w:t>
      </w:r>
      <w:r w:rsidR="003E2353">
        <w:t>,</w:t>
      </w:r>
      <w:r>
        <w:t xml:space="preserve"> </w:t>
      </w:r>
      <w:proofErr w:type="gramStart"/>
      <w:r>
        <w:t>as a result of</w:t>
      </w:r>
      <w:proofErr w:type="gramEnd"/>
      <w:r>
        <w:t xml:space="preserve"> the implementation of the Bill, there </w:t>
      </w:r>
      <w:r w:rsidR="004B1A81">
        <w:t>will be</w:t>
      </w:r>
      <w:r>
        <w:t xml:space="preserve"> a notable increase in the number of treatment</w:t>
      </w:r>
      <w:r w:rsidR="004B1A81">
        <w:t xml:space="preserve"> referrals that are not discharged before they commence. In other words</w:t>
      </w:r>
      <w:r w:rsidR="00BE75D0">
        <w:t>,</w:t>
      </w:r>
      <w:r w:rsidR="004B1A81">
        <w:t xml:space="preserve"> more people referred for treatment will</w:t>
      </w:r>
      <w:r>
        <w:t xml:space="preserve"> </w:t>
      </w:r>
      <w:r w:rsidR="00BE75D0">
        <w:t>be able to undertake</w:t>
      </w:r>
      <w:r w:rsidR="00524DC9">
        <w:t xml:space="preserve"> it.</w:t>
      </w:r>
      <w:r>
        <w:t xml:space="preserve"> </w:t>
      </w:r>
    </w:p>
    <w:p w14:paraId="72925245" w14:textId="32651C31" w:rsidR="00FE356D" w:rsidRDefault="00FE356D" w:rsidP="00C950D7">
      <w:pPr>
        <w:pStyle w:val="BillADPara"/>
      </w:pPr>
      <w:r>
        <w:t>It is challenging to estimate the proportion</w:t>
      </w:r>
      <w:r w:rsidR="004B1A81">
        <w:t xml:space="preserve"> of the increase</w:t>
      </w:r>
      <w:r>
        <w:t xml:space="preserve"> </w:t>
      </w:r>
      <w:r w:rsidR="00335BD2">
        <w:t>in required treatmen</w:t>
      </w:r>
      <w:r w:rsidR="00154D72">
        <w:t>t</w:t>
      </w:r>
      <w:r w:rsidR="00335BD2">
        <w:t xml:space="preserve">s </w:t>
      </w:r>
      <w:r>
        <w:t>and so a range of estimates</w:t>
      </w:r>
      <w:r w:rsidR="004B1A81">
        <w:t xml:space="preserve"> for this increase</w:t>
      </w:r>
      <w:r>
        <w:t xml:space="preserve"> is being provided. This range assumes between half and two thirds of the treatments that are </w:t>
      </w:r>
      <w:r w:rsidR="00DC3DE0">
        <w:t>currently discharged</w:t>
      </w:r>
      <w:r w:rsidR="00BE75D0">
        <w:t xml:space="preserve"> before they begin</w:t>
      </w:r>
      <w:r>
        <w:t xml:space="preserve"> will be commenced and</w:t>
      </w:r>
      <w:r w:rsidR="00BE75D0">
        <w:t>, it is hoped,</w:t>
      </w:r>
      <w:r>
        <w:t xml:space="preserve"> completed</w:t>
      </w:r>
      <w:r w:rsidR="00335043">
        <w:t>.</w:t>
      </w:r>
      <w:r w:rsidR="004B1A81">
        <w:rPr>
          <w:rStyle w:val="FootnoteReference"/>
        </w:rPr>
        <w:footnoteReference w:id="60"/>
      </w:r>
      <w:r w:rsidR="00183FCD">
        <w:t xml:space="preserve"> </w:t>
      </w:r>
      <w:r>
        <w:t>This represents an increase of service provision of between 12.</w:t>
      </w:r>
      <w:r w:rsidR="00745615">
        <w:t>3</w:t>
      </w:r>
      <w:r>
        <w:t>% and 16.</w:t>
      </w:r>
      <w:r w:rsidR="00611C56">
        <w:t>4</w:t>
      </w:r>
      <w:r>
        <w:t>%</w:t>
      </w:r>
      <w:r w:rsidR="003E2353">
        <w:t xml:space="preserve"> (50% and 66.6% of 24.</w:t>
      </w:r>
      <w:r w:rsidR="00745615">
        <w:t>6</w:t>
      </w:r>
      <w:r w:rsidR="003E2353">
        <w:t>% respectively).</w:t>
      </w:r>
    </w:p>
    <w:p w14:paraId="656C04AD" w14:textId="51D78389" w:rsidR="0BC33294" w:rsidRDefault="00CB1379" w:rsidP="00C950D7">
      <w:pPr>
        <w:pStyle w:val="BillADPara"/>
      </w:pPr>
      <w:r>
        <w:t xml:space="preserve">If </w:t>
      </w:r>
      <w:r w:rsidR="5D2064BB">
        <w:t xml:space="preserve">the </w:t>
      </w:r>
      <w:r>
        <w:t>£</w:t>
      </w:r>
      <w:r w:rsidR="00277920">
        <w:t>1</w:t>
      </w:r>
      <w:r w:rsidR="024B342C">
        <w:t>6</w:t>
      </w:r>
      <w:r w:rsidR="00D92384">
        <w:t>0</w:t>
      </w:r>
      <w:r>
        <w:t xml:space="preserve"> million</w:t>
      </w:r>
      <w:r w:rsidR="2A01178C">
        <w:t xml:space="preserve"> budget</w:t>
      </w:r>
      <w:r>
        <w:t xml:space="preserve"> accounts for </w:t>
      </w:r>
      <w:r w:rsidR="00FE356D">
        <w:t xml:space="preserve">the delivery of </w:t>
      </w:r>
      <w:r>
        <w:t xml:space="preserve">69% of </w:t>
      </w:r>
      <w:r w:rsidR="00FE356D">
        <w:t>referred</w:t>
      </w:r>
      <w:r>
        <w:t xml:space="preserve"> treatments</w:t>
      </w:r>
      <w:r w:rsidR="00FE356D">
        <w:t>, and it is estimated that this Bill increases the delivery of treatment services to between 81.</w:t>
      </w:r>
      <w:r w:rsidR="00611C56">
        <w:t>3</w:t>
      </w:r>
      <w:r w:rsidR="00FE356D">
        <w:t>% and 85.</w:t>
      </w:r>
      <w:r w:rsidR="00611C56">
        <w:t>4</w:t>
      </w:r>
      <w:r w:rsidR="00FE356D">
        <w:t>%</w:t>
      </w:r>
      <w:r w:rsidR="00183FCD">
        <w:t xml:space="preserve"> (69% + 12.</w:t>
      </w:r>
      <w:r w:rsidR="00611C56">
        <w:t>3</w:t>
      </w:r>
      <w:r w:rsidR="00183FCD">
        <w:t>% and 69% + 16.</w:t>
      </w:r>
      <w:r w:rsidR="00611C56">
        <w:t>4</w:t>
      </w:r>
      <w:r w:rsidR="00183FCD">
        <w:t>% respectively),</w:t>
      </w:r>
      <w:r w:rsidR="00FE356D">
        <w:t xml:space="preserve"> </w:t>
      </w:r>
      <w:r w:rsidR="00183FCD">
        <w:t>t</w:t>
      </w:r>
      <w:r w:rsidR="00FE356D">
        <w:t>hen using 202</w:t>
      </w:r>
      <w:r w:rsidR="00277920">
        <w:t>4-25</w:t>
      </w:r>
      <w:r w:rsidR="00FE356D">
        <w:t xml:space="preserve"> figures the cost of treatment delivery</w:t>
      </w:r>
      <w:r w:rsidR="004B1A81">
        <w:t xml:space="preserve"> under this Bill</w:t>
      </w:r>
      <w:r w:rsidR="00FE356D">
        <w:t xml:space="preserve"> would be between £1</w:t>
      </w:r>
      <w:r w:rsidR="08CF58A5">
        <w:t>88.5</w:t>
      </w:r>
      <w:r w:rsidR="00FE356D">
        <w:t xml:space="preserve"> million and £</w:t>
      </w:r>
      <w:r w:rsidR="00277920">
        <w:t>1</w:t>
      </w:r>
      <w:r w:rsidR="0EF8C8D7">
        <w:t>98</w:t>
      </w:r>
      <w:r w:rsidR="00FE356D">
        <w:t xml:space="preserve"> million.</w:t>
      </w:r>
      <w:r w:rsidR="00064BFC">
        <w:t xml:space="preserve"> </w:t>
      </w:r>
      <w:r w:rsidR="00183FCD" w:rsidRPr="004B1A81">
        <w:t>This is an increase of between £</w:t>
      </w:r>
      <w:r w:rsidR="1E467818" w:rsidRPr="004B1A81">
        <w:t>28.5</w:t>
      </w:r>
      <w:r w:rsidR="00183FCD" w:rsidRPr="004B1A81">
        <w:t xml:space="preserve"> million and £</w:t>
      </w:r>
      <w:r w:rsidR="3FAC4E9E" w:rsidRPr="004B1A81">
        <w:t xml:space="preserve">38 </w:t>
      </w:r>
      <w:r w:rsidR="00183FCD" w:rsidRPr="004B1A81">
        <w:t>million</w:t>
      </w:r>
      <w:r w:rsidR="652ACB69" w:rsidRPr="004B1A81">
        <w:t>.</w:t>
      </w:r>
    </w:p>
    <w:p w14:paraId="4EE38FDD" w14:textId="15E372CE" w:rsidR="003E2353" w:rsidRDefault="00277920" w:rsidP="00C950D7">
      <w:pPr>
        <w:pStyle w:val="BillADPara"/>
      </w:pPr>
      <w:r>
        <w:t>The</w:t>
      </w:r>
      <w:r w:rsidR="009B0894">
        <w:t xml:space="preserve"> </w:t>
      </w:r>
      <w:r w:rsidR="00064BFC">
        <w:t>significant</w:t>
      </w:r>
      <w:r w:rsidR="009B0894">
        <w:t xml:space="preserve"> majority of</w:t>
      </w:r>
      <w:r>
        <w:t xml:space="preserve"> £160 million budget for 2024-25 is being allocated on a combination of direct provision of existing treatment services and initial investments in new services in order to scale up provision to meet need</w:t>
      </w:r>
      <w:r w:rsidR="00580CA5">
        <w:t>.</w:t>
      </w:r>
      <w:r w:rsidR="009B0894">
        <w:rPr>
          <w:rStyle w:val="FootnoteReference"/>
        </w:rPr>
        <w:footnoteReference w:id="61"/>
      </w:r>
      <w:r>
        <w:t xml:space="preserve"> In calculating the increased cost in th</w:t>
      </w:r>
      <w:r w:rsidR="00BE75D0">
        <w:t>e</w:t>
      </w:r>
      <w:r>
        <w:t xml:space="preserve"> way</w:t>
      </w:r>
      <w:r w:rsidR="00BE75D0">
        <w:t xml:space="preserve"> set out above</w:t>
      </w:r>
      <w:r>
        <w:t>, t</w:t>
      </w:r>
      <w:r w:rsidR="003008FB">
        <w:t>he assumption is being made that the</w:t>
      </w:r>
      <w:r>
        <w:t xml:space="preserve"> same approach to funding decisions will need to be made in future years, </w:t>
      </w:r>
      <w:r w:rsidR="00E4047E">
        <w:t xml:space="preserve">namely </w:t>
      </w:r>
      <w:r>
        <w:t xml:space="preserve">that a proportion of </w:t>
      </w:r>
      <w:r w:rsidR="00BE75D0">
        <w:t xml:space="preserve">overall </w:t>
      </w:r>
      <w:r>
        <w:t>budget will need to be spent on maintaining service provision of some services and a proportion would be used to continue to commission more capacity.</w:t>
      </w:r>
    </w:p>
    <w:p w14:paraId="24CD23B1" w14:textId="5DE02F60" w:rsidR="005E161C" w:rsidRPr="0036565E" w:rsidRDefault="005E161C" w:rsidP="006755FB">
      <w:pPr>
        <w:pStyle w:val="BillADAdditionalHeading2"/>
      </w:pPr>
      <w:r w:rsidRPr="0036565E">
        <w:t>Contribution to required increased service levels from existing investment</w:t>
      </w:r>
    </w:p>
    <w:p w14:paraId="4601F723" w14:textId="621D2434" w:rsidR="00560707" w:rsidRDefault="00BE75D0" w:rsidP="00C950D7">
      <w:pPr>
        <w:pStyle w:val="BillADPara"/>
      </w:pPr>
      <w:r>
        <w:t>I</w:t>
      </w:r>
      <w:r w:rsidR="00277920">
        <w:t>n relation to residential rehabilitation</w:t>
      </w:r>
      <w:r w:rsidR="3D4AA115">
        <w:t>,</w:t>
      </w:r>
      <w:r w:rsidR="00277920">
        <w:t xml:space="preserve"> </w:t>
      </w:r>
      <w:r w:rsidR="00D95788">
        <w:t xml:space="preserve">the Scottish Government </w:t>
      </w:r>
      <w:r w:rsidR="00277920">
        <w:t>has committed</w:t>
      </w:r>
      <w:r w:rsidR="00D95788">
        <w:t xml:space="preserve"> to</w:t>
      </w:r>
      <w:r w:rsidR="00277920">
        <w:t xml:space="preserve"> continuing to</w:t>
      </w:r>
      <w:r w:rsidR="00D95788">
        <w:t xml:space="preserve"> provide </w:t>
      </w:r>
      <w:r w:rsidR="00335BD2">
        <w:t>funding</w:t>
      </w:r>
      <w:r w:rsidR="00D95788">
        <w:t xml:space="preserve"> in its annual budget including in 2025</w:t>
      </w:r>
      <w:r w:rsidR="00335BD2">
        <w:t>-2</w:t>
      </w:r>
      <w:r w:rsidR="00D95788">
        <w:t>6 to</w:t>
      </w:r>
      <w:r w:rsidR="00626025">
        <w:t>wards</w:t>
      </w:r>
      <w:r w:rsidR="00D95788">
        <w:t xml:space="preserve"> increasing the number of publicly funded residential rehabilitation</w:t>
      </w:r>
      <w:r w:rsidR="00626025">
        <w:t xml:space="preserve"> bed</w:t>
      </w:r>
      <w:r w:rsidR="003E2353">
        <w:t>s</w:t>
      </w:r>
      <w:r w:rsidR="00277920">
        <w:t>. T</w:t>
      </w:r>
      <w:r w:rsidR="00D95788">
        <w:t>his increase will</w:t>
      </w:r>
      <w:r w:rsidR="00277920">
        <w:t>, it is hoped,</w:t>
      </w:r>
      <w:r w:rsidR="00D95788">
        <w:t xml:space="preserve"> establish 650 publicly funded beds in residential rehabilitation</w:t>
      </w:r>
      <w:r w:rsidR="00560707">
        <w:t xml:space="preserve"> </w:t>
      </w:r>
      <w:r w:rsidR="003E2353">
        <w:t xml:space="preserve">by </w:t>
      </w:r>
      <w:r w:rsidR="00335BD2">
        <w:t>March</w:t>
      </w:r>
      <w:r w:rsidR="003E2353">
        <w:t xml:space="preserve"> 2026</w:t>
      </w:r>
      <w:r w:rsidR="00277920">
        <w:t>. It is assumed t</w:t>
      </w:r>
      <w:r w:rsidR="00560707">
        <w:t>hese beds</w:t>
      </w:r>
      <w:r w:rsidR="00D95788">
        <w:t xml:space="preserve"> will be operational on a year</w:t>
      </w:r>
      <w:r>
        <w:t>-</w:t>
      </w:r>
      <w:r w:rsidR="00D95788">
        <w:t xml:space="preserve">round basis and </w:t>
      </w:r>
      <w:r w:rsidR="00277920">
        <w:t xml:space="preserve">be </w:t>
      </w:r>
      <w:r w:rsidR="00D95788">
        <w:t xml:space="preserve">provided for </w:t>
      </w:r>
      <w:r w:rsidR="2707E2AD">
        <w:t>across</w:t>
      </w:r>
      <w:r w:rsidR="00D95788">
        <w:t xml:space="preserve"> the NHS </w:t>
      </w:r>
      <w:r w:rsidR="00DC3DE0">
        <w:t>and</w:t>
      </w:r>
      <w:r w:rsidR="00D95788">
        <w:t xml:space="preserve"> the third sector</w:t>
      </w:r>
      <w:r w:rsidR="00277920">
        <w:t>. I</w:t>
      </w:r>
      <w:r w:rsidR="00D95788">
        <w:t>t is assumed</w:t>
      </w:r>
      <w:r w:rsidR="003E2353">
        <w:t xml:space="preserve"> that</w:t>
      </w:r>
      <w:r w:rsidR="00D95788">
        <w:t xml:space="preserve"> each </w:t>
      </w:r>
      <w:r w:rsidR="003E2353">
        <w:t xml:space="preserve">of these 650 </w:t>
      </w:r>
      <w:r w:rsidR="00D95788">
        <w:t>bed</w:t>
      </w:r>
      <w:r w:rsidR="003E2353">
        <w:t>s</w:t>
      </w:r>
      <w:r w:rsidR="00D95788">
        <w:t xml:space="preserve"> will</w:t>
      </w:r>
      <w:r w:rsidR="003E2353">
        <w:t>,</w:t>
      </w:r>
      <w:r w:rsidR="00D95788">
        <w:t xml:space="preserve"> </w:t>
      </w:r>
      <w:r w:rsidR="003E2353">
        <w:t xml:space="preserve">over </w:t>
      </w:r>
      <w:r w:rsidR="00D95788">
        <w:t>the course of a year</w:t>
      </w:r>
      <w:r w:rsidR="003E2353">
        <w:t>,</w:t>
      </w:r>
      <w:r w:rsidR="00D95788">
        <w:t xml:space="preserve"> support </w:t>
      </w:r>
      <w:r w:rsidR="00277920">
        <w:t>two to three patients (assuming an average programme of 23 weeks)</w:t>
      </w:r>
      <w:r w:rsidR="00D95788">
        <w:t xml:space="preserve">. </w:t>
      </w:r>
      <w:r w:rsidR="00277920">
        <w:t xml:space="preserve">It is also assumed that the Scottish Government will </w:t>
      </w:r>
      <w:r w:rsidR="00335BD2">
        <w:t>further</w:t>
      </w:r>
      <w:r w:rsidR="00277920">
        <w:t xml:space="preserve"> increase residential rehabilitation bed numbers in future years</w:t>
      </w:r>
      <w:r w:rsidR="00335BD2">
        <w:t xml:space="preserve"> beyond 650</w:t>
      </w:r>
      <w:r w:rsidR="00277920">
        <w:t xml:space="preserve"> </w:t>
      </w:r>
      <w:proofErr w:type="gramStart"/>
      <w:r w:rsidR="00277920">
        <w:t>in order to</w:t>
      </w:r>
      <w:proofErr w:type="gramEnd"/>
      <w:r w:rsidR="00277920">
        <w:t xml:space="preserve"> achieve the stated desired outcome that 11% of treatment episodes occur in residential accommodation. </w:t>
      </w:r>
      <w:r w:rsidR="00D95788">
        <w:t>On th</w:t>
      </w:r>
      <w:r w:rsidR="00560707">
        <w:t>at</w:t>
      </w:r>
      <w:r w:rsidR="00D95788">
        <w:t xml:space="preserve"> basis</w:t>
      </w:r>
      <w:r w:rsidR="003E2353">
        <w:t>,</w:t>
      </w:r>
      <w:r w:rsidR="00D95788">
        <w:t xml:space="preserve"> </w:t>
      </w:r>
      <w:r w:rsidR="00335BD2">
        <w:t xml:space="preserve">assuming Government planned work is delivered, </w:t>
      </w:r>
      <w:r w:rsidR="00560707">
        <w:t>there w</w:t>
      </w:r>
      <w:r w:rsidR="003E2353">
        <w:t>ould</w:t>
      </w:r>
      <w:r w:rsidR="00560707">
        <w:t xml:space="preserve"> be</w:t>
      </w:r>
      <w:r w:rsidR="00D95788">
        <w:t xml:space="preserve"> capacity for</w:t>
      </w:r>
      <w:r w:rsidR="00560707">
        <w:t xml:space="preserve"> hundreds more</w:t>
      </w:r>
      <w:r w:rsidR="00D95788">
        <w:t xml:space="preserve"> residential rehabilitation</w:t>
      </w:r>
      <w:r w:rsidR="00560707">
        <w:t xml:space="preserve"> placements</w:t>
      </w:r>
      <w:r w:rsidR="00D95788">
        <w:t xml:space="preserve"> </w:t>
      </w:r>
      <w:r w:rsidR="00277920">
        <w:t>in the period following this Bill’s implementation.</w:t>
      </w:r>
    </w:p>
    <w:p w14:paraId="5376F8F4" w14:textId="7FCD0E13" w:rsidR="003F56FE" w:rsidRDefault="00BE75D0" w:rsidP="00C950D7">
      <w:pPr>
        <w:pStyle w:val="BillADPara"/>
      </w:pPr>
      <w:r>
        <w:t>T</w:t>
      </w:r>
      <w:r w:rsidR="003F56FE">
        <w:t xml:space="preserve">he investment currently underway to increase service provision for a number of treatment services including residential rehabilitation, detoxification services and stabilisation services amongst others, </w:t>
      </w:r>
      <w:r>
        <w:t>which</w:t>
      </w:r>
      <w:r w:rsidR="003F56FE">
        <w:t xml:space="preserve"> is planned to continue to increase in future years, will generate at least part of the increased service provision required to implement </w:t>
      </w:r>
      <w:proofErr w:type="gramStart"/>
      <w:r w:rsidR="003F56FE">
        <w:t>this</w:t>
      </w:r>
      <w:proofErr w:type="gramEnd"/>
      <w:r w:rsidR="003F56FE">
        <w:t xml:space="preserve"> Bill. </w:t>
      </w:r>
    </w:p>
    <w:p w14:paraId="37BDA179" w14:textId="678BDF7D" w:rsidR="00560707" w:rsidRDefault="00BE75D0" w:rsidP="00C950D7">
      <w:pPr>
        <w:pStyle w:val="BillADPara"/>
      </w:pPr>
      <w:r>
        <w:t>Turning to the</w:t>
      </w:r>
      <w:r w:rsidR="00277920">
        <w:t xml:space="preserve"> increased costs associated with </w:t>
      </w:r>
      <w:r>
        <w:t>the Bill’s requirement for</w:t>
      </w:r>
      <w:r w:rsidR="00277920">
        <w:t xml:space="preserve"> all treatments </w:t>
      </w:r>
      <w:r>
        <w:t>to begin</w:t>
      </w:r>
      <w:r w:rsidR="00277920">
        <w:t xml:space="preserve"> within </w:t>
      </w:r>
      <w:r w:rsidR="00A875E8">
        <w:t>three</w:t>
      </w:r>
      <w:r w:rsidR="00277920">
        <w:t xml:space="preserve"> weeks as required under the Bill, m</w:t>
      </w:r>
      <w:r w:rsidR="00560707">
        <w:t>any of the</w:t>
      </w:r>
      <w:r w:rsidR="003E2353">
        <w:t xml:space="preserve"> current</w:t>
      </w:r>
      <w:r w:rsidR="00560707">
        <w:t xml:space="preserve"> longer delays for treatment relate to residential rehabilitation and other services where investment is currently being </w:t>
      </w:r>
      <w:r w:rsidR="00277920">
        <w:t>made</w:t>
      </w:r>
      <w:r w:rsidR="00560707">
        <w:t xml:space="preserve"> to increase capacity (such as increasing the number of beds in detoxification clinics). It is hoped that th</w:t>
      </w:r>
      <w:r w:rsidR="00335BD2">
        <w:t>e Government’s planned</w:t>
      </w:r>
      <w:r w:rsidR="00560707">
        <w:t xml:space="preserve"> increased capacity (and further investment to increase capacity using additional funding required for this Bill) will contribute to a reduction in numbers of people waiting over </w:t>
      </w:r>
      <w:r w:rsidR="00A875E8">
        <w:t>three</w:t>
      </w:r>
      <w:r w:rsidR="00560707">
        <w:t xml:space="preserve"> weeks for treatment. </w:t>
      </w:r>
    </w:p>
    <w:p w14:paraId="0CCE21F1" w14:textId="0376AD52" w:rsidR="00560707" w:rsidRDefault="00560707" w:rsidP="00C950D7">
      <w:pPr>
        <w:pStyle w:val="BillADPara"/>
      </w:pPr>
      <w:r>
        <w:t>I</w:t>
      </w:r>
      <w:r w:rsidR="00D95788">
        <w:t>n 2020/21 95% of referrals result</w:t>
      </w:r>
      <w:r>
        <w:t>ed</w:t>
      </w:r>
      <w:r w:rsidR="00D95788">
        <w:t xml:space="preserve"> in treatment start</w:t>
      </w:r>
      <w:r>
        <w:t>ing</w:t>
      </w:r>
      <w:r w:rsidR="00D95788">
        <w:t xml:space="preserve"> within three weeks or less. </w:t>
      </w:r>
      <w:r>
        <w:t>With the additional investment</w:t>
      </w:r>
      <w:r w:rsidR="003E2353">
        <w:t>,</w:t>
      </w:r>
      <w:r>
        <w:t xml:space="preserve"> including that provided for in the costs associated with this Bill, it is hoped that all those given the right to treatment within </w:t>
      </w:r>
      <w:r w:rsidR="00A875E8">
        <w:t>three</w:t>
      </w:r>
      <w:r>
        <w:t xml:space="preserve"> weeks </w:t>
      </w:r>
      <w:r w:rsidR="003E2353">
        <w:t>at most</w:t>
      </w:r>
      <w:r>
        <w:t xml:space="preserve"> under this Bill can receive treatment to that timescale.</w:t>
      </w:r>
    </w:p>
    <w:p w14:paraId="4DC83CCD" w14:textId="76629D27" w:rsidR="00277920" w:rsidRDefault="00560707" w:rsidP="00C950D7">
      <w:pPr>
        <w:pStyle w:val="BillADPara"/>
      </w:pPr>
      <w:r>
        <w:t xml:space="preserve">Given the scale </w:t>
      </w:r>
      <w:r w:rsidR="00BE75D0">
        <w:t xml:space="preserve">and multi-faceted nature </w:t>
      </w:r>
      <w:r>
        <w:t xml:space="preserve">of the challenge in improving the lives of so many suffering from drug and/or alcohol addiction in Scotland, it is assumed </w:t>
      </w:r>
      <w:r w:rsidR="003E2353">
        <w:t xml:space="preserve">the level of increased funding required </w:t>
      </w:r>
      <w:r>
        <w:t xml:space="preserve">will need to be provided on a </w:t>
      </w:r>
      <w:r w:rsidR="00064BFC">
        <w:t>recurring</w:t>
      </w:r>
      <w:r>
        <w:t xml:space="preserve"> basis. It is not possible, given the lack of certainty as to the number of new people who will become addicted to alcohol and/or drugs in the future, to establish when</w:t>
      </w:r>
      <w:r w:rsidR="00DC3DE0">
        <w:t xml:space="preserve"> </w:t>
      </w:r>
      <w:r>
        <w:t>the funding levels provided for treatment services will be able to be reduced.</w:t>
      </w:r>
    </w:p>
    <w:p w14:paraId="3203CDD7" w14:textId="020394D4" w:rsidR="00560707" w:rsidRDefault="003E2353" w:rsidP="00C950D7">
      <w:pPr>
        <w:pStyle w:val="BillADPara"/>
      </w:pPr>
      <w:r>
        <w:t>As detailed below in the section on savings,</w:t>
      </w:r>
      <w:r w:rsidR="00BE75D0">
        <w:t xml:space="preserve"> the Member believes that,</w:t>
      </w:r>
      <w:r>
        <w:t xml:space="preserve"> </w:t>
      </w:r>
      <w:r w:rsidR="00DC3DE0">
        <w:t xml:space="preserve">by implementing the provisions of this Bill, twinned </w:t>
      </w:r>
      <w:r>
        <w:t xml:space="preserve">with sustained significant investment </w:t>
      </w:r>
      <w:r w:rsidR="00DC3DE0">
        <w:t xml:space="preserve">on treatment services, </w:t>
      </w:r>
      <w:r>
        <w:t xml:space="preserve">there will </w:t>
      </w:r>
      <w:r w:rsidR="00BE75D0">
        <w:t>be a marked increase in th</w:t>
      </w:r>
      <w:r w:rsidR="00335BD2">
        <w:t>e numbers of people</w:t>
      </w:r>
      <w:r w:rsidR="00BE75D0">
        <w:t xml:space="preserve"> who are effectively treated for their addiction. On that basis there will </w:t>
      </w:r>
      <w:r>
        <w:t>come a tipping point where savings begin to be generated based on a steady decrease in the proportion of people across Scotland with an addiction to drugs and/or alcohol.</w:t>
      </w:r>
    </w:p>
    <w:p w14:paraId="214CA9D0" w14:textId="245695B8" w:rsidR="003758E5" w:rsidRPr="000500E2" w:rsidRDefault="0036565E" w:rsidP="006755FB">
      <w:pPr>
        <w:pStyle w:val="BillADAdditionalHeading2"/>
      </w:pPr>
      <w:r>
        <w:t>SCOTTISH GOVERNMENT COSTS</w:t>
      </w:r>
    </w:p>
    <w:p w14:paraId="00AAA646" w14:textId="3299AA05" w:rsidR="36270D61" w:rsidRDefault="36270D61" w:rsidP="00C950D7">
      <w:pPr>
        <w:pStyle w:val="BillADPara"/>
      </w:pPr>
      <w:r>
        <w:t xml:space="preserve">The increased costs to the Scottish Government for increased service provision is provided alongside the increased costs for health boards and local authorities (including through ADPs) in paragraphs </w:t>
      </w:r>
      <w:r w:rsidR="004F15D3">
        <w:t>86</w:t>
      </w:r>
      <w:r>
        <w:t xml:space="preserve"> to </w:t>
      </w:r>
      <w:r w:rsidR="004F15D3">
        <w:t>88</w:t>
      </w:r>
      <w:r>
        <w:t xml:space="preserve"> below.</w:t>
      </w:r>
    </w:p>
    <w:p w14:paraId="4A54979A" w14:textId="1087F391" w:rsidR="003758E5" w:rsidRDefault="003758E5" w:rsidP="00064BFC">
      <w:pPr>
        <w:pStyle w:val="BillADAdditionalHeading1"/>
      </w:pPr>
      <w:r>
        <w:t>Promoting awareness and understanding of the new procedure</w:t>
      </w:r>
    </w:p>
    <w:p w14:paraId="53113E4C" w14:textId="4E8FEF85" w:rsidR="003758E5" w:rsidRDefault="003758E5" w:rsidP="00C950D7">
      <w:pPr>
        <w:pStyle w:val="BillADPara"/>
      </w:pPr>
      <w:r>
        <w:t xml:space="preserve">The Bill does not specifically make provision which places a duty on Ministers to promote </w:t>
      </w:r>
      <w:r w:rsidR="005E161C">
        <w:t xml:space="preserve">public </w:t>
      </w:r>
      <w:r>
        <w:t xml:space="preserve">awareness of the </w:t>
      </w:r>
      <w:r w:rsidR="005E161C">
        <w:t xml:space="preserve">procedure established by the </w:t>
      </w:r>
      <w:r>
        <w:t>Bill. However, the Member considers this to be a necessary step to ensure the positive impacts of the Bill can be realised, including by those who need to be encouraged to accept their addiction and seek diagnosis and then support through treatment services.</w:t>
      </w:r>
    </w:p>
    <w:p w14:paraId="38110AE8" w14:textId="77777777" w:rsidR="0070191B" w:rsidRDefault="003758E5" w:rsidP="00C950D7">
      <w:pPr>
        <w:pStyle w:val="BillADPara"/>
      </w:pPr>
      <w:r>
        <w:t xml:space="preserve">It is envisaged that such a campaign would seek to reach the adult population in general, with some targeting towards those experiencing poverty and deprivation. This is in acknowledgement of the high incidences of addiction where people are experiencing poverty. It would be for the Scottish Government to decide the exact terms of an awareness-raising campaign, however </w:t>
      </w:r>
      <w:proofErr w:type="gramStart"/>
      <w:r>
        <w:t>a number of</w:t>
      </w:r>
      <w:proofErr w:type="gramEnd"/>
      <w:r>
        <w:t xml:space="preserve"> previous campaigns have been analysed to seek to estimate potential costs.</w:t>
      </w:r>
    </w:p>
    <w:p w14:paraId="24673870" w14:textId="0640E2B8" w:rsidR="003758E5" w:rsidRDefault="003758E5" w:rsidP="00C950D7">
      <w:pPr>
        <w:pStyle w:val="BillADPara"/>
      </w:pPr>
      <w:r>
        <w:t>The Scottish Government publishes information annually relating to how much it spends on marketing (or advertising) campaigns. The most recent available figures are for 2022-23.</w:t>
      </w:r>
      <w:r>
        <w:rPr>
          <w:rStyle w:val="FootnoteReference"/>
        </w:rPr>
        <w:footnoteReference w:id="62"/>
      </w:r>
      <w:r>
        <w:t xml:space="preserve"> </w:t>
      </w:r>
      <w:r w:rsidR="00913262">
        <w:t>In terms of the type of campaign, a useful c</w:t>
      </w:r>
      <w:r w:rsidR="005E161C">
        <w:t>omparator would appear to be the</w:t>
      </w:r>
      <w:r>
        <w:t xml:space="preserve"> Scottish Government organ and tissue donation campaign cost </w:t>
      </w:r>
      <w:r w:rsidR="005E161C">
        <w:t>in the region of</w:t>
      </w:r>
      <w:r>
        <w:t xml:space="preserve"> £237,553</w:t>
      </w:r>
      <w:r w:rsidR="005E161C">
        <w:t xml:space="preserve"> in 2022-23</w:t>
      </w:r>
      <w:r>
        <w:t>.</w:t>
      </w:r>
      <w:r w:rsidR="00DB1E8E">
        <w:t xml:space="preserve"> Adjusted for inflation this is £256,268.</w:t>
      </w:r>
    </w:p>
    <w:p w14:paraId="4670CB80" w14:textId="1C2CA610" w:rsidR="003758E5" w:rsidRPr="007C3A15" w:rsidRDefault="003758E5" w:rsidP="00C950D7">
      <w:pPr>
        <w:pStyle w:val="BillADPara"/>
      </w:pPr>
      <w:r>
        <w:t xml:space="preserve">It is assumed the campaign would need to run on a recurring basis to ensure awareness raising </w:t>
      </w:r>
      <w:r w:rsidR="00931E52">
        <w:t>is</w:t>
      </w:r>
      <w:r>
        <w:t xml:space="preserve"> done in a sustained way. On that basis it is assumed that a substantial campaign would run in the year when the Bill is initially </w:t>
      </w:r>
      <w:proofErr w:type="gramStart"/>
      <w:r>
        <w:t>implemented</w:t>
      </w:r>
      <w:proofErr w:type="gramEnd"/>
      <w:r>
        <w:t xml:space="preserve"> and then further campaigns would run for the next three years.</w:t>
      </w:r>
      <w:r w:rsidR="00B40C2B">
        <w:t xml:space="preserve"> </w:t>
      </w:r>
      <w:r w:rsidR="00DB1E8E">
        <w:t>T</w:t>
      </w:r>
      <w:r w:rsidR="00B40C2B">
        <w:t xml:space="preserve">he initial development of material for the campaign would be completed in year 1, </w:t>
      </w:r>
      <w:r w:rsidR="00931E52">
        <w:t xml:space="preserve">meaning </w:t>
      </w:r>
      <w:r w:rsidR="00B40C2B">
        <w:t xml:space="preserve">the </w:t>
      </w:r>
      <w:r w:rsidR="00064BFC">
        <w:t>recurring</w:t>
      </w:r>
      <w:r w:rsidR="00B40C2B">
        <w:t xml:space="preserve"> costs of running the campaign </w:t>
      </w:r>
      <w:r w:rsidR="00931E52">
        <w:t>w</w:t>
      </w:r>
      <w:r w:rsidR="00B40C2B">
        <w:t xml:space="preserve">ould be lower in future years. Lower </w:t>
      </w:r>
      <w:r w:rsidR="00064BFC">
        <w:t>recurring</w:t>
      </w:r>
      <w:r w:rsidR="00B40C2B">
        <w:t xml:space="preserve"> campaign costs are included in </w:t>
      </w:r>
      <w:r w:rsidR="009A247D">
        <w:t>T</w:t>
      </w:r>
      <w:r w:rsidR="00B40C2B">
        <w:t xml:space="preserve">able </w:t>
      </w:r>
      <w:r w:rsidR="009A247D">
        <w:t xml:space="preserve">1 </w:t>
      </w:r>
      <w:r w:rsidR="00B40C2B">
        <w:t>on that basis.</w:t>
      </w:r>
    </w:p>
    <w:p w14:paraId="703BC889" w14:textId="25DC0957" w:rsidR="003758E5" w:rsidRDefault="003758E5" w:rsidP="00C950D7">
      <w:pPr>
        <w:pStyle w:val="BillADPara"/>
      </w:pPr>
      <w:r>
        <w:t xml:space="preserve">The Scottish Government has a recurring budget for marketing campaigns, meaning potentially the Scottish Ministers could promote awareness and understanding within the existing budget. Additional costs would only be incurred if the overall budget for marketing campaigns was increased </w:t>
      </w:r>
      <w:proofErr w:type="gramStart"/>
      <w:r>
        <w:t>as a result of</w:t>
      </w:r>
      <w:proofErr w:type="gramEnd"/>
      <w:r>
        <w:t xml:space="preserve"> the Bill.</w:t>
      </w:r>
      <w:r w:rsidR="00B40C2B">
        <w:t xml:space="preserve"> To ensure full costs of the Bill are reflected as far as possible in this Memorandu</w:t>
      </w:r>
      <w:r w:rsidR="00931E52">
        <w:t>m</w:t>
      </w:r>
      <w:r w:rsidR="00B40C2B">
        <w:t>,</w:t>
      </w:r>
      <w:r>
        <w:t xml:space="preserve"> </w:t>
      </w:r>
      <w:r w:rsidR="009A247D">
        <w:t>T</w:t>
      </w:r>
      <w:r>
        <w:t>able</w:t>
      </w:r>
      <w:r w:rsidR="00B40C2B">
        <w:t xml:space="preserve"> </w:t>
      </w:r>
      <w:r w:rsidR="00CA2D8F">
        <w:t xml:space="preserve">2 </w:t>
      </w:r>
      <w:r>
        <w:t xml:space="preserve">of overall costs on page </w:t>
      </w:r>
      <w:r w:rsidR="00CA2D8F">
        <w:t>18</w:t>
      </w:r>
      <w:r>
        <w:t xml:space="preserve"> assumes the campaign costs will be additional to the existing budget.</w:t>
      </w:r>
    </w:p>
    <w:p w14:paraId="40892435" w14:textId="1ECD7CD5" w:rsidR="003758E5" w:rsidRPr="00732C70" w:rsidRDefault="003758E5" w:rsidP="00064BFC">
      <w:pPr>
        <w:pStyle w:val="BillADAdditionalHeading1"/>
      </w:pPr>
      <w:r w:rsidRPr="00732C70">
        <w:t>Reporting</w:t>
      </w:r>
      <w:r w:rsidR="000500E2" w:rsidRPr="00732C70">
        <w:t xml:space="preserve"> to Parliament</w:t>
      </w:r>
    </w:p>
    <w:p w14:paraId="683EE995" w14:textId="77777777" w:rsidR="003758E5" w:rsidRDefault="003758E5" w:rsidP="00C950D7">
      <w:pPr>
        <w:pStyle w:val="BillADPara"/>
      </w:pPr>
      <w:r>
        <w:t>Section 5 of the Bill requires the Scottish Ministers to report to the Parliament. It sets out that Ministers must, on an annual basis, publish and lay before the Parliament a report “setting out progress made in the reporting period towards achieving the provision of the treatment to patients in accordance with this Act”.</w:t>
      </w:r>
    </w:p>
    <w:p w14:paraId="18F70625" w14:textId="0BC9A350" w:rsidR="00F025AA" w:rsidRDefault="00F025AA" w:rsidP="00C950D7">
      <w:pPr>
        <w:pStyle w:val="BillADPara"/>
      </w:pPr>
      <w:r>
        <w:t xml:space="preserve">The Islands (Scotland) Bill Financial Memorandum based its costing for an annual report on Scottish Government costs incurred for collating other annual reports. The estimate of £8,400 in 2018 included staffing costs for the preparation of the annual report for two months in the run up to publication and publication costs. Adjusted for inflation this figure would be </w:t>
      </w:r>
      <w:r w:rsidR="00DB1E8E">
        <w:t>£10,355</w:t>
      </w:r>
      <w:r>
        <w:t>.</w:t>
      </w:r>
    </w:p>
    <w:p w14:paraId="208F3BB6" w14:textId="6193CCF9" w:rsidR="00F025AA" w:rsidRPr="00F025AA" w:rsidRDefault="00F025AA" w:rsidP="00C950D7">
      <w:pPr>
        <w:pStyle w:val="BillADPara"/>
      </w:pPr>
      <w:r w:rsidRPr="00F025AA">
        <w:t>In addition to the collation and publication of the annual report, the Bill requires that prior to preparing a report the Scottish Government must conduct a targeted consultation and that this must include people with lived experience of drug or alcohol addiction.</w:t>
      </w:r>
      <w:r>
        <w:t xml:space="preserve"> </w:t>
      </w:r>
      <w:r w:rsidR="000500E2">
        <w:t>To aid this</w:t>
      </w:r>
      <w:r w:rsidR="00931E52">
        <w:t xml:space="preserve"> consultation</w:t>
      </w:r>
      <w:r w:rsidR="000500E2">
        <w:t>, the Scottish Government may wish to establish an advisory group made up of those with lived experience and representative groups of those with lived experience. The Victims, Witnesses, and Justice Reform (Scotland) Bill Financial Memorandum sets out a detailed estimate for the cost of an advisory group informed by the experiences of victims of crime. It assumes a group holding quarterly meetings would cost between £28,000 and £42,000</w:t>
      </w:r>
      <w:r w:rsidR="000500E2">
        <w:rPr>
          <w:rStyle w:val="FootnoteReference"/>
        </w:rPr>
        <w:footnoteReference w:id="63"/>
      </w:r>
      <w:r w:rsidR="000500E2">
        <w:t>. Quarterly meetings may not be required in relation to the production of the annual report</w:t>
      </w:r>
      <w:r w:rsidR="00931E52">
        <w:t xml:space="preserve"> for this Bill</w:t>
      </w:r>
      <w:r w:rsidR="000500E2">
        <w:t>, and the exact format of the consultation is a matter for the Scottish Government. However, given the emphasis the Member places on involvement of those with lived experience, full annual costs of £42,</w:t>
      </w:r>
      <w:r w:rsidR="00DB1E8E">
        <w:t>7</w:t>
      </w:r>
      <w:r w:rsidR="000500E2">
        <w:t>00</w:t>
      </w:r>
      <w:r w:rsidR="00DB1E8E">
        <w:t xml:space="preserve"> (adjusted for inflation)</w:t>
      </w:r>
      <w:r w:rsidR="000500E2">
        <w:t xml:space="preserve"> are being included.</w:t>
      </w:r>
    </w:p>
    <w:p w14:paraId="3E83739C" w14:textId="40F714B5" w:rsidR="003758E5" w:rsidRPr="00732C70" w:rsidRDefault="003758E5" w:rsidP="00064BFC">
      <w:pPr>
        <w:pStyle w:val="BillADAdditionalHeading1"/>
      </w:pPr>
      <w:r w:rsidRPr="00732C70">
        <w:t>Code of Practice</w:t>
      </w:r>
    </w:p>
    <w:p w14:paraId="53F6FE37" w14:textId="77777777" w:rsidR="003758E5" w:rsidRDefault="003758E5" w:rsidP="00C950D7">
      <w:pPr>
        <w:pStyle w:val="BillADPara"/>
      </w:pPr>
      <w:r>
        <w:t xml:space="preserve">The purpose of the code is to set out, for the benefit of the bodies who have duties placed on them through regulations under this Bill, how those duties are to be discharged. The code is therefore a key document in the effective implementation of the provisions of this Bill.  </w:t>
      </w:r>
    </w:p>
    <w:p w14:paraId="5F9A5542" w14:textId="07B9BFF6" w:rsidR="000500E2" w:rsidRDefault="003758E5" w:rsidP="00C950D7">
      <w:pPr>
        <w:pStyle w:val="BillADPara"/>
      </w:pPr>
      <w:r>
        <w:t>The Police (Ethics, Conduct and Scrutiny) Scotland Bill places a duty on the Chief Constable of Police Scotland to prepare and publish a Code of Ethics and to review the code from time to time.  The Financial Memorandum for that Bill estimated that this will cost £10,000.</w:t>
      </w:r>
      <w:r w:rsidR="000500E2">
        <w:t xml:space="preserve"> Adj</w:t>
      </w:r>
      <w:r w:rsidR="00DB1E8E">
        <w:t>usted for inflation this would be £10,200.</w:t>
      </w:r>
    </w:p>
    <w:p w14:paraId="3795C2C8" w14:textId="5375EDDC" w:rsidR="000500E2" w:rsidRDefault="000500E2" w:rsidP="00C950D7">
      <w:pPr>
        <w:pStyle w:val="BillADPara"/>
      </w:pPr>
      <w:r>
        <w:t>It should be noted that the Member would encourage wherever appropriate consultation with those with lived experience in the production of the Code of Practice, and considers the costs allowed for above in relation to consultation on the annual report could be used to also consult any reference group on the contents of the initial Code of Practice and on any updates produced from time to time.</w:t>
      </w:r>
    </w:p>
    <w:p w14:paraId="6F137883" w14:textId="6C6CE376" w:rsidR="003758E5" w:rsidRPr="003758E5" w:rsidRDefault="003758E5" w:rsidP="00C950D7">
      <w:pPr>
        <w:pStyle w:val="BillADPara"/>
      </w:pPr>
      <w:r>
        <w:t>The Bill sets out that Scottish Ministers may publish a revised code of practice “from time to time”, without specifying the frequency of how often such revisions could occur. Continuing comparison with the Police</w:t>
      </w:r>
      <w:r w:rsidR="00DA26E9">
        <w:t xml:space="preserve"> Scotland</w:t>
      </w:r>
      <w:r>
        <w:t xml:space="preserve"> Code of Ethics, which is to be reviewed every five years, it would be reasonable to estimate that revision of the code of </w:t>
      </w:r>
      <w:r w:rsidR="00CD35C9">
        <w:t xml:space="preserve">practice </w:t>
      </w:r>
      <w:r>
        <w:t>could also occur every five years. It is therefore considered that a cost of £10,</w:t>
      </w:r>
      <w:r w:rsidR="00DB1E8E">
        <w:t>2</w:t>
      </w:r>
      <w:r>
        <w:t>00 may be incurred roughly every five years in revising the code.</w:t>
      </w:r>
    </w:p>
    <w:p w14:paraId="64592744" w14:textId="78B36435" w:rsidR="003758E5" w:rsidRDefault="00355BA0" w:rsidP="006755FB">
      <w:pPr>
        <w:pStyle w:val="BillADAdditionalHeading2"/>
      </w:pPr>
      <w:r>
        <w:t>N</w:t>
      </w:r>
      <w:r w:rsidR="00860C14">
        <w:t>ATIONAL HEALTH SERVICE COSTS</w:t>
      </w:r>
    </w:p>
    <w:p w14:paraId="5A9B43CF" w14:textId="33547BBF" w:rsidR="003758E5" w:rsidRPr="007E4E4F" w:rsidRDefault="003758E5" w:rsidP="006755FB">
      <w:pPr>
        <w:pStyle w:val="BillADAdditionalHeading2"/>
      </w:pPr>
      <w:r w:rsidRPr="007E4E4F">
        <w:t>Staff training</w:t>
      </w:r>
    </w:p>
    <w:p w14:paraId="11A208DC" w14:textId="0CE1908E" w:rsidR="003758E5" w:rsidRDefault="003758E5" w:rsidP="00C950D7">
      <w:pPr>
        <w:pStyle w:val="BillADPara"/>
      </w:pPr>
      <w:r>
        <w:t xml:space="preserve">Health professionals with a role under the Bill are medical practitioners, nurse independent prescribers </w:t>
      </w:r>
      <w:r w:rsidR="00931E52">
        <w:t>and</w:t>
      </w:r>
      <w:r>
        <w:t xml:space="preserve"> pharmacist independent prescribers. In relation to the procedure for determining treatment, training will be required for these health professionals on the overall process, including on the right of an individual to seek a second opinion, and the requirement for the health professional to make a written statement of reasons. In relation to the provision of treatment, staff will require to be provided with details of the specific conditions under the Bill which do not, in and of themselves, constitute reasons </w:t>
      </w:r>
      <w:r w:rsidR="00931E52">
        <w:t xml:space="preserve">for them </w:t>
      </w:r>
      <w:r>
        <w:t>not to provide</w:t>
      </w:r>
      <w:r w:rsidR="00931E52">
        <w:t xml:space="preserve"> someone with</w:t>
      </w:r>
      <w:r>
        <w:t xml:space="preserve"> treatment.</w:t>
      </w:r>
    </w:p>
    <w:p w14:paraId="4B1C241B" w14:textId="1ADC678E" w:rsidR="003758E5" w:rsidRDefault="00931E52" w:rsidP="00C950D7">
      <w:pPr>
        <w:pStyle w:val="BillADPara"/>
      </w:pPr>
      <w:r>
        <w:t>A</w:t>
      </w:r>
      <w:r w:rsidR="003758E5">
        <w:t xml:space="preserve"> useful comparator would appear to be the Human Tissue (Authorisation) (Scotland) Bill which required training to be developed and rolled out on a new</w:t>
      </w:r>
      <w:r>
        <w:t xml:space="preserve"> NHS</w:t>
      </w:r>
      <w:r w:rsidR="003758E5">
        <w:t xml:space="preserve"> procedure. Costs include a member of staff to lead in the development of the training and overseeing this rollout. </w:t>
      </w:r>
      <w:r w:rsidR="009551B1">
        <w:t>Adjusted for inflation, the</w:t>
      </w:r>
      <w:r w:rsidR="003758E5">
        <w:t xml:space="preserve"> </w:t>
      </w:r>
      <w:r w:rsidR="009551B1">
        <w:t xml:space="preserve">cost </w:t>
      </w:r>
      <w:r w:rsidR="003758E5">
        <w:t xml:space="preserve">of a similar programme of training would be </w:t>
      </w:r>
      <w:r w:rsidR="00DB1E8E">
        <w:t>£200,000</w:t>
      </w:r>
      <w:r w:rsidR="00732C70">
        <w:t>.</w:t>
      </w:r>
      <w:r w:rsidR="5526D800">
        <w:t xml:space="preserve"> It is anticipated that this would be a one-off cost and then the training would be incorporated into existing training for new health professionals.</w:t>
      </w:r>
    </w:p>
    <w:p w14:paraId="67495B1E" w14:textId="29E0B922" w:rsidR="00732C70" w:rsidRPr="007E4E4F" w:rsidRDefault="00732C70" w:rsidP="006755FB">
      <w:pPr>
        <w:pStyle w:val="BillADAdditionalHeading2"/>
      </w:pPr>
      <w:r w:rsidRPr="007E4E4F">
        <w:t>Staff time</w:t>
      </w:r>
    </w:p>
    <w:p w14:paraId="116A68AD" w14:textId="46B66150" w:rsidR="00732C70" w:rsidRDefault="00732C70" w:rsidP="00C950D7">
      <w:pPr>
        <w:pStyle w:val="BillADPara"/>
      </w:pPr>
      <w:r>
        <w:t xml:space="preserve">In addition to the </w:t>
      </w:r>
      <w:r w:rsidR="00931E52">
        <w:t xml:space="preserve">staff </w:t>
      </w:r>
      <w:r>
        <w:t xml:space="preserve">time required for the delivery of additional treatment services (set out above), there will be additional costs associated with the procedure for determining treatment. Following diagnosis, wherever an individual is not referred to, or prescribed their preferred treatment the relevant health professional would now be required to spend time providing a written statement of reasons setting out the basis for their decision. Relevant health professionals will also be asked to provide a second opinion where someone wants to seek an alternative view (informed by the written statement of reasons). </w:t>
      </w:r>
    </w:p>
    <w:p w14:paraId="47D7F6B2" w14:textId="46E8711B" w:rsidR="00732C70" w:rsidRPr="00732C70" w:rsidRDefault="00931E52" w:rsidP="00C950D7">
      <w:pPr>
        <w:pStyle w:val="BillADPara"/>
      </w:pPr>
      <w:r>
        <w:t>As set out above, the implementation of the Bill will lead to</w:t>
      </w:r>
      <w:r w:rsidR="00732C70">
        <w:t xml:space="preserve"> </w:t>
      </w:r>
      <w:r>
        <w:t xml:space="preserve">more completed treatments. This in turn will mean fewer </w:t>
      </w:r>
      <w:r w:rsidR="00732C70">
        <w:t>repeat appointments</w:t>
      </w:r>
      <w:r>
        <w:t xml:space="preserve"> being needed</w:t>
      </w:r>
      <w:r w:rsidR="00732C70">
        <w:t xml:space="preserve"> for patients who</w:t>
      </w:r>
      <w:r>
        <w:t xml:space="preserve"> are seeking a new treatment</w:t>
      </w:r>
      <w:r w:rsidR="00DA26E9">
        <w:t>,</w:t>
      </w:r>
      <w:r>
        <w:t xml:space="preserve"> having</w:t>
      </w:r>
      <w:r w:rsidR="00732C70">
        <w:t xml:space="preserve"> had an unsuccessful patient journey. It is assumed that this reduction in appointments to determine a treatment will offset the staff time required to provide a written statement of reasons and to provide second opinions.</w:t>
      </w:r>
    </w:p>
    <w:p w14:paraId="66F441B2" w14:textId="1236AADA" w:rsidR="00A86138" w:rsidRPr="003758E5" w:rsidRDefault="007A08F5" w:rsidP="006755FB">
      <w:pPr>
        <w:pStyle w:val="BillADAdditionalHeading2"/>
      </w:pPr>
      <w:r>
        <w:t>COSTS ON LOCAL AUTHORITIES, HEALTH BOARDS AND ALCOHOL AND DRUGS PARTNERSHIPS</w:t>
      </w:r>
    </w:p>
    <w:p w14:paraId="629D260E" w14:textId="04A2E060" w:rsidR="00E042C7" w:rsidRDefault="00E042C7" w:rsidP="00C950D7">
      <w:pPr>
        <w:pStyle w:val="BillADPara"/>
      </w:pPr>
      <w:r>
        <w:t>As set out above</w:t>
      </w:r>
      <w:r w:rsidR="00DA26E9">
        <w:t xml:space="preserve"> in paragraph 19</w:t>
      </w:r>
      <w:r>
        <w:t>, the four funding channels for the delivery of alcohol and drug addiction treatments are:</w:t>
      </w:r>
    </w:p>
    <w:p w14:paraId="30F9B7CE" w14:textId="7033AAA8" w:rsidR="00E042C7" w:rsidRPr="00BA6B4D" w:rsidRDefault="00E042C7" w:rsidP="005F74C0">
      <w:pPr>
        <w:pStyle w:val="BillADBullet"/>
        <w:spacing w:after="0"/>
      </w:pPr>
      <w:r w:rsidRPr="00BA6B4D">
        <w:t>Health Board baseline </w:t>
      </w:r>
      <w:r>
        <w:t>–</w:t>
      </w:r>
      <w:r w:rsidRPr="00BA6B4D">
        <w:t xml:space="preserve"> </w:t>
      </w:r>
      <w:r>
        <w:t xml:space="preserve">this made up </w:t>
      </w:r>
      <w:r w:rsidRPr="00BA6B4D">
        <w:t>40%</w:t>
      </w:r>
      <w:r>
        <w:t xml:space="preserve"> of overall budget in 2022-23</w:t>
      </w:r>
    </w:p>
    <w:p w14:paraId="770D292F" w14:textId="18C725BE" w:rsidR="00E042C7" w:rsidRPr="00BA6B4D" w:rsidRDefault="00E042C7" w:rsidP="005F74C0">
      <w:pPr>
        <w:pStyle w:val="BillADBullet"/>
        <w:spacing w:after="0"/>
      </w:pPr>
      <w:r w:rsidRPr="00BA6B4D">
        <w:rPr>
          <w:rStyle w:val="lalign"/>
          <w:color w:val="333333"/>
          <w:szCs w:val="24"/>
        </w:rPr>
        <w:t>Additional A</w:t>
      </w:r>
      <w:r>
        <w:rPr>
          <w:rStyle w:val="lalign"/>
          <w:color w:val="333333"/>
          <w:szCs w:val="24"/>
        </w:rPr>
        <w:t xml:space="preserve">lcohol and </w:t>
      </w:r>
      <w:r w:rsidRPr="00BA6B4D">
        <w:rPr>
          <w:rStyle w:val="lalign"/>
          <w:color w:val="333333"/>
          <w:szCs w:val="24"/>
        </w:rPr>
        <w:t>D</w:t>
      </w:r>
      <w:r>
        <w:rPr>
          <w:rStyle w:val="lalign"/>
          <w:color w:val="333333"/>
          <w:szCs w:val="24"/>
        </w:rPr>
        <w:t xml:space="preserve">rug </w:t>
      </w:r>
      <w:r w:rsidRPr="00BA6B4D">
        <w:rPr>
          <w:rStyle w:val="lalign"/>
          <w:color w:val="333333"/>
          <w:szCs w:val="24"/>
        </w:rPr>
        <w:t>P</w:t>
      </w:r>
      <w:r>
        <w:rPr>
          <w:rStyle w:val="lalign"/>
          <w:color w:val="333333"/>
          <w:szCs w:val="24"/>
        </w:rPr>
        <w:t>artnership</w:t>
      </w:r>
      <w:r w:rsidRPr="00BA6B4D">
        <w:rPr>
          <w:rStyle w:val="lalign"/>
          <w:color w:val="333333"/>
          <w:szCs w:val="24"/>
        </w:rPr>
        <w:t> funding</w:t>
      </w:r>
      <w:r w:rsidRPr="00BA6B4D">
        <w:t> - 35%</w:t>
      </w:r>
    </w:p>
    <w:p w14:paraId="4EF1D7A0" w14:textId="3C9BD1FF" w:rsidR="00E042C7" w:rsidRPr="00BA6B4D" w:rsidRDefault="00E042C7" w:rsidP="005F74C0">
      <w:pPr>
        <w:pStyle w:val="BillADBullet"/>
        <w:spacing w:after="0"/>
      </w:pPr>
      <w:r w:rsidRPr="00BA6B4D">
        <w:rPr>
          <w:rStyle w:val="lalign"/>
          <w:color w:val="333333"/>
          <w:szCs w:val="24"/>
        </w:rPr>
        <w:t xml:space="preserve">Grants via </w:t>
      </w:r>
      <w:proofErr w:type="spellStart"/>
      <w:r w:rsidRPr="00BA6B4D">
        <w:rPr>
          <w:rStyle w:val="lalign"/>
          <w:color w:val="333333"/>
          <w:szCs w:val="24"/>
        </w:rPr>
        <w:t>Corra</w:t>
      </w:r>
      <w:proofErr w:type="spellEnd"/>
      <w:r w:rsidRPr="00BA6B4D">
        <w:rPr>
          <w:rStyle w:val="lalign"/>
          <w:color w:val="333333"/>
          <w:szCs w:val="24"/>
        </w:rPr>
        <w:t> </w:t>
      </w:r>
      <w:r>
        <w:t>Foundation</w:t>
      </w:r>
      <w:r w:rsidRPr="00BA6B4D">
        <w:t> - 9%</w:t>
      </w:r>
    </w:p>
    <w:p w14:paraId="2322491E" w14:textId="41E4AEBE" w:rsidR="00E242B6" w:rsidRDefault="64A2E104" w:rsidP="005F74C0">
      <w:pPr>
        <w:pStyle w:val="BillADBullet"/>
        <w:spacing w:after="240"/>
      </w:pPr>
      <w:r w:rsidRPr="7D46E723">
        <w:rPr>
          <w:rStyle w:val="lalign"/>
          <w:color w:val="333333"/>
        </w:rPr>
        <w:t>Scottish Government Managed</w:t>
      </w:r>
      <w:r w:rsidRPr="7D46E723">
        <w:t> - 13%</w:t>
      </w:r>
      <w:r w:rsidR="00E042C7" w:rsidRPr="7D46E723">
        <w:rPr>
          <w:rStyle w:val="FootnoteReference"/>
          <w:color w:val="333333"/>
        </w:rPr>
        <w:footnoteReference w:id="64"/>
      </w:r>
    </w:p>
    <w:p w14:paraId="34307CD7" w14:textId="035BBF2F" w:rsidR="00044CD1" w:rsidRDefault="00044CD1" w:rsidP="00C950D7">
      <w:pPr>
        <w:pStyle w:val="BillADPara"/>
      </w:pPr>
      <w:r>
        <w:t xml:space="preserve">Health boards and local authorities receive distinct proportions of the overall budget each year through a combination of baseline funding, ADP funding and Scottish Government Managed funding. </w:t>
      </w:r>
      <w:r w:rsidR="7D7970BD">
        <w:t>Alcohol and Drug Partnerships involve both health boards and local authorities. The figures presented below therefore present</w:t>
      </w:r>
      <w:r w:rsidR="5D9CAA93">
        <w:t xml:space="preserve"> projected</w:t>
      </w:r>
      <w:r w:rsidR="7D7970BD">
        <w:t xml:space="preserve"> costs</w:t>
      </w:r>
      <w:r w:rsidR="42EF232D">
        <w:t xml:space="preserve"> that fall solely</w:t>
      </w:r>
      <w:r w:rsidR="7D7970BD">
        <w:t xml:space="preserve"> on health boards </w:t>
      </w:r>
      <w:proofErr w:type="gramStart"/>
      <w:r w:rsidR="7D7970BD">
        <w:t>and also</w:t>
      </w:r>
      <w:proofErr w:type="gramEnd"/>
      <w:r w:rsidR="7D7970BD">
        <w:t xml:space="preserve"> </w:t>
      </w:r>
      <w:r w:rsidR="06ED243C">
        <w:t xml:space="preserve">separate costs on </w:t>
      </w:r>
      <w:r w:rsidR="7D7970BD">
        <w:t>ADPs</w:t>
      </w:r>
      <w:r w:rsidR="35FC3388">
        <w:t>.</w:t>
      </w:r>
      <w:r w:rsidR="7D7970BD">
        <w:t xml:space="preserve"> </w:t>
      </w:r>
      <w:r w:rsidR="5B670B16">
        <w:t>I</w:t>
      </w:r>
      <w:r w:rsidR="41794CE4">
        <w:t xml:space="preserve">t does not provide specific separate costs </w:t>
      </w:r>
      <w:r w:rsidR="00E4047E">
        <w:t>on</w:t>
      </w:r>
      <w:r w:rsidR="00E4047E">
        <w:t xml:space="preserve"> </w:t>
      </w:r>
      <w:r w:rsidR="41794CE4">
        <w:t>local authorities on that basis</w:t>
      </w:r>
      <w:r w:rsidR="1D8EB0DC">
        <w:t>.</w:t>
      </w:r>
      <w:r w:rsidR="043308C9">
        <w:t xml:space="preserve"> As set out above, it is assumed </w:t>
      </w:r>
      <w:r w:rsidR="40B7919D">
        <w:t>that</w:t>
      </w:r>
      <w:r w:rsidR="669F6802">
        <w:t xml:space="preserve"> the cost of treatment delivery under this Bill would be between £1</w:t>
      </w:r>
      <w:r w:rsidR="6240EF37">
        <w:t>88.5</w:t>
      </w:r>
      <w:r w:rsidR="669F6802">
        <w:t xml:space="preserve"> million and £1</w:t>
      </w:r>
      <w:r w:rsidR="334FED39">
        <w:t>98</w:t>
      </w:r>
      <w:r w:rsidR="669F6802">
        <w:t xml:space="preserve"> million. This is an increase of between £</w:t>
      </w:r>
      <w:r w:rsidR="07180A4C">
        <w:t>28.5</w:t>
      </w:r>
      <w:r w:rsidR="669F6802">
        <w:t xml:space="preserve"> million and £</w:t>
      </w:r>
      <w:r w:rsidR="0CA583C2">
        <w:t>38</w:t>
      </w:r>
      <w:r w:rsidR="669F6802">
        <w:t xml:space="preserve"> million.</w:t>
      </w:r>
    </w:p>
    <w:p w14:paraId="206B25D2" w14:textId="477CF483" w:rsidR="638002BF" w:rsidRDefault="3A12D752" w:rsidP="00C950D7">
      <w:pPr>
        <w:pStyle w:val="BillADPara"/>
      </w:pPr>
      <w:r>
        <w:t>The calculations on the allocation of this additional funding between health boards, ADPs and the Scottish Government in future years is based on</w:t>
      </w:r>
      <w:r w:rsidR="45C307FF">
        <w:t xml:space="preserve"> the same proportions of budget allocations </w:t>
      </w:r>
      <w:r w:rsidR="5624A6E9">
        <w:t>used in 2022-23. In other words</w:t>
      </w:r>
      <w:r w:rsidR="45C307FF">
        <w:t xml:space="preserve"> 40% of </w:t>
      </w:r>
      <w:r w:rsidR="5D4D7FCF">
        <w:t xml:space="preserve">the additional funding required for service provision under this </w:t>
      </w:r>
      <w:proofErr w:type="gramStart"/>
      <w:r w:rsidR="5D4D7FCF">
        <w:t>Bill</w:t>
      </w:r>
      <w:r w:rsidR="45C307FF">
        <w:t xml:space="preserve">  will</w:t>
      </w:r>
      <w:proofErr w:type="gramEnd"/>
      <w:r w:rsidR="45C307FF">
        <w:t xml:space="preserve"> be allocated to health boards, 35% to ADPs, and </w:t>
      </w:r>
      <w:r w:rsidR="64814CEE">
        <w:t>2</w:t>
      </w:r>
      <w:r w:rsidR="6A215115">
        <w:t xml:space="preserve">5% to the Scottish Government (25% </w:t>
      </w:r>
      <w:r w:rsidR="40E95A9A">
        <w:t>is made up of</w:t>
      </w:r>
      <w:r w:rsidR="6A215115">
        <w:t xml:space="preserve"> 13% allocated in Scottish Government Managed funds, 9% allocated by the Scottish Government to the </w:t>
      </w:r>
      <w:proofErr w:type="spellStart"/>
      <w:r w:rsidR="6A215115">
        <w:t>Corra</w:t>
      </w:r>
      <w:proofErr w:type="spellEnd"/>
      <w:r w:rsidR="6A215115">
        <w:t xml:space="preserve"> Foundation to be allocated </w:t>
      </w:r>
      <w:r w:rsidR="5F7B5CE6">
        <w:t>as grants, and 3% allocated by the Scottish Government to core funded organisations)</w:t>
      </w:r>
      <w:r w:rsidR="004DADAA">
        <w:t>.</w:t>
      </w:r>
      <w:r w:rsidR="714509BE">
        <w:t xml:space="preserve"> These figures are set out in Tables 1 and 2 below.</w:t>
      </w:r>
      <w:r w:rsidR="5F06F882">
        <w:t xml:space="preserve"> Table 1 sets out initial costs and recurring costs broken down by each of the types of additional cost incurred </w:t>
      </w:r>
      <w:proofErr w:type="gramStart"/>
      <w:r w:rsidR="5F06F882">
        <w:t>as a result of</w:t>
      </w:r>
      <w:proofErr w:type="gramEnd"/>
      <w:r w:rsidR="5F06F882">
        <w:t xml:space="preserve"> the Bill’s implementation. Table 2 sets o</w:t>
      </w:r>
      <w:r w:rsidR="7F94CFA3">
        <w:t>ut initial and recurring costs based on the type of organisation incurring the cost.</w:t>
      </w:r>
    </w:p>
    <w:p w14:paraId="273F8749" w14:textId="348EFD58" w:rsidR="7F94CFA3" w:rsidRDefault="7F94CFA3" w:rsidP="00C950D7">
      <w:pPr>
        <w:pStyle w:val="BillADPara"/>
        <w:numPr>
          <w:ilvl w:val="0"/>
          <w:numId w:val="0"/>
        </w:numPr>
        <w:ind w:left="360"/>
      </w:pPr>
      <w:r w:rsidRPr="00C950D7">
        <w:t>Table</w:t>
      </w:r>
      <w:r w:rsidRPr="6007B2DF">
        <w:t xml:space="preserve"> </w:t>
      </w:r>
      <w:r w:rsidRPr="00C950D7">
        <w:t>1</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1920"/>
        <w:gridCol w:w="1815"/>
        <w:gridCol w:w="1410"/>
        <w:gridCol w:w="1410"/>
      </w:tblGrid>
      <w:tr w:rsidR="638002BF" w14:paraId="291A48C1" w14:textId="77777777" w:rsidTr="0BC33294">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tcPr>
          <w:p w14:paraId="32FE3E91" w14:textId="5B1EECC9" w:rsidR="638002BF" w:rsidRPr="00C950D7" w:rsidRDefault="638002BF" w:rsidP="00C950D7">
            <w:pPr>
              <w:pStyle w:val="BillADPara"/>
              <w:numPr>
                <w:ilvl w:val="0"/>
                <w:numId w:val="0"/>
              </w:numPr>
              <w:ind w:left="360"/>
            </w:pPr>
            <w:r w:rsidRPr="00C950D7">
              <w:t xml:space="preserve">Costs </w:t>
            </w:r>
          </w:p>
        </w:tc>
        <w:tc>
          <w:tcPr>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2DAB48F4" w14:textId="293E848F" w:rsidR="638002BF" w:rsidRPr="00C950D7" w:rsidRDefault="638002BF" w:rsidP="00C950D7">
            <w:pPr>
              <w:pStyle w:val="BillADPara"/>
              <w:numPr>
                <w:ilvl w:val="0"/>
                <w:numId w:val="0"/>
              </w:numPr>
              <w:ind w:left="360"/>
            </w:pPr>
            <w:r w:rsidRPr="00C950D7">
              <w:t>Year 1 cost (low)</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tcPr>
          <w:p w14:paraId="01B822B8" w14:textId="71C21675" w:rsidR="638002BF" w:rsidRPr="00C950D7" w:rsidRDefault="638002BF" w:rsidP="00C950D7">
            <w:pPr>
              <w:pStyle w:val="BillADPara"/>
              <w:numPr>
                <w:ilvl w:val="0"/>
                <w:numId w:val="0"/>
              </w:numPr>
              <w:ind w:left="360"/>
            </w:pPr>
            <w:r w:rsidRPr="00C950D7">
              <w:t>Year 1 cost (high)</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2B5AE412" w14:textId="0326EE8F" w:rsidR="638002BF" w:rsidRPr="00C950D7" w:rsidRDefault="638002BF" w:rsidP="00C950D7">
            <w:pPr>
              <w:pStyle w:val="BillADPara"/>
              <w:numPr>
                <w:ilvl w:val="0"/>
                <w:numId w:val="0"/>
              </w:numPr>
              <w:ind w:left="360"/>
            </w:pPr>
            <w:r w:rsidRPr="00C950D7">
              <w:t>Ongoing</w:t>
            </w:r>
            <w:r w:rsidR="00C950D7" w:rsidRPr="00C950D7">
              <w:t xml:space="preserve"> </w:t>
            </w:r>
            <w:r w:rsidRPr="00C950D7">
              <w:t>cost per annum (low)</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46D6FEE7" w14:textId="4A7C5E2F" w:rsidR="638002BF" w:rsidRDefault="638002BF" w:rsidP="00C950D7">
            <w:pPr>
              <w:pStyle w:val="BillADPara"/>
              <w:numPr>
                <w:ilvl w:val="0"/>
                <w:numId w:val="0"/>
              </w:numPr>
              <w:ind w:left="360"/>
            </w:pPr>
            <w:r w:rsidRPr="00C950D7">
              <w:t>Ongoing</w:t>
            </w:r>
            <w:r w:rsidR="00C950D7" w:rsidRPr="00C950D7">
              <w:t xml:space="preserve"> </w:t>
            </w:r>
            <w:r w:rsidRPr="00C950D7">
              <w:t>cost per annum (high</w:t>
            </w:r>
            <w:r>
              <w:t>)</w:t>
            </w:r>
          </w:p>
        </w:tc>
      </w:tr>
      <w:tr w:rsidR="638002BF" w14:paraId="538E6E31" w14:textId="77777777" w:rsidTr="0BC33294">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tcPr>
          <w:p w14:paraId="0698C078" w14:textId="2C08F3AC" w:rsidR="638002BF" w:rsidRPr="00C950D7" w:rsidRDefault="638002BF" w:rsidP="00C950D7">
            <w:pPr>
              <w:pStyle w:val="BillADPara"/>
              <w:numPr>
                <w:ilvl w:val="0"/>
                <w:numId w:val="0"/>
              </w:numPr>
              <w:ind w:left="360"/>
            </w:pPr>
            <w:r w:rsidRPr="00C950D7">
              <w:t>Total cost of</w:t>
            </w:r>
            <w:r w:rsidR="1FAFC4F8" w:rsidRPr="00C950D7">
              <w:t xml:space="preserve"> increased provision of drug and alcohol</w:t>
            </w:r>
            <w:r w:rsidRPr="00C950D7">
              <w:t xml:space="preserve"> treatment</w:t>
            </w:r>
            <w:r w:rsidR="688C76E1" w:rsidRPr="00C950D7">
              <w:t>s</w:t>
            </w:r>
          </w:p>
        </w:tc>
        <w:tc>
          <w:tcPr>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30F5950A" w14:textId="3DE48309" w:rsidR="638002BF" w:rsidRDefault="638002BF" w:rsidP="00C950D7">
            <w:pPr>
              <w:pStyle w:val="BillADPara"/>
              <w:numPr>
                <w:ilvl w:val="0"/>
                <w:numId w:val="0"/>
              </w:numPr>
              <w:ind w:left="360"/>
            </w:pPr>
            <w:r>
              <w:t>£</w:t>
            </w:r>
            <w:r w:rsidR="00F67821">
              <w:t>28,500,000</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tcPr>
          <w:p w14:paraId="126A9661" w14:textId="0283C5EB" w:rsidR="638002BF" w:rsidRDefault="638002BF" w:rsidP="00C950D7">
            <w:pPr>
              <w:pStyle w:val="BillADPara"/>
              <w:numPr>
                <w:ilvl w:val="0"/>
                <w:numId w:val="0"/>
              </w:numPr>
              <w:ind w:left="360"/>
            </w:pPr>
            <w:r>
              <w:t>£</w:t>
            </w:r>
            <w:r w:rsidR="00F67821">
              <w:t>38,000,000</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45A1171C" w14:textId="144C6D17" w:rsidR="638002BF" w:rsidRDefault="638002BF" w:rsidP="00C950D7">
            <w:pPr>
              <w:pStyle w:val="BillADPara"/>
              <w:numPr>
                <w:ilvl w:val="0"/>
                <w:numId w:val="0"/>
              </w:numPr>
              <w:ind w:left="360"/>
            </w:pPr>
            <w:r>
              <w:t>£</w:t>
            </w:r>
            <w:r w:rsidR="00F67821">
              <w:t>28,500,000</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327160A4" w14:textId="5301BEFC" w:rsidR="638002BF" w:rsidRDefault="638002BF" w:rsidP="00C950D7">
            <w:pPr>
              <w:pStyle w:val="BillADPara"/>
              <w:numPr>
                <w:ilvl w:val="0"/>
                <w:numId w:val="0"/>
              </w:numPr>
              <w:ind w:left="360"/>
            </w:pPr>
            <w:r>
              <w:t>£</w:t>
            </w:r>
            <w:r w:rsidR="00F67821">
              <w:t>38,000,000</w:t>
            </w:r>
          </w:p>
        </w:tc>
      </w:tr>
      <w:tr w:rsidR="638002BF" w14:paraId="20E478B5" w14:textId="77777777" w:rsidTr="0BC33294">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tcPr>
          <w:p w14:paraId="4EACFEE3" w14:textId="513AB4E1" w:rsidR="638002BF" w:rsidRPr="00C950D7" w:rsidRDefault="638002BF" w:rsidP="00C950D7">
            <w:pPr>
              <w:pStyle w:val="BillADPara"/>
              <w:numPr>
                <w:ilvl w:val="0"/>
                <w:numId w:val="0"/>
              </w:numPr>
              <w:ind w:left="360"/>
            </w:pPr>
            <w:r w:rsidRPr="00C950D7">
              <w:t>Promoting awareness and understanding</w:t>
            </w:r>
          </w:p>
        </w:tc>
        <w:tc>
          <w:tcPr>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64C67F25" w14:textId="0E8742F7" w:rsidR="638002BF" w:rsidRDefault="638002BF" w:rsidP="00C950D7">
            <w:pPr>
              <w:pStyle w:val="BillADPara"/>
              <w:numPr>
                <w:ilvl w:val="0"/>
                <w:numId w:val="0"/>
              </w:numPr>
            </w:pPr>
            <w:r>
              <w:t>£256,268</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tcPr>
          <w:p w14:paraId="77215467" w14:textId="6D34900E" w:rsidR="638002BF" w:rsidRDefault="638002BF" w:rsidP="00C950D7">
            <w:pPr>
              <w:pStyle w:val="BillADPara"/>
              <w:numPr>
                <w:ilvl w:val="0"/>
                <w:numId w:val="0"/>
              </w:numPr>
            </w:pPr>
            <w:r>
              <w:t>£256,268</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41C8D3B0" w14:textId="7E4B2A91" w:rsidR="638002BF" w:rsidRDefault="638002BF" w:rsidP="00C950D7">
            <w:pPr>
              <w:pStyle w:val="BillADPara"/>
              <w:numPr>
                <w:ilvl w:val="0"/>
                <w:numId w:val="0"/>
              </w:numPr>
            </w:pPr>
            <w:r>
              <w:t>0</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05DC205D" w14:textId="54900BC7" w:rsidR="638002BF" w:rsidRDefault="638002BF" w:rsidP="00C950D7">
            <w:pPr>
              <w:pStyle w:val="BillADPara"/>
              <w:numPr>
                <w:ilvl w:val="0"/>
                <w:numId w:val="0"/>
              </w:numPr>
              <w:rPr>
                <w:vertAlign w:val="superscript"/>
              </w:rPr>
            </w:pPr>
            <w:r w:rsidRPr="3B3A7721">
              <w:t>£156,</w:t>
            </w:r>
            <w:r w:rsidRPr="50D2B126">
              <w:t>268</w:t>
            </w:r>
            <w:r w:rsidRPr="6007B2DF">
              <w:rPr>
                <w:rStyle w:val="FootnoteReference"/>
                <w:color w:val="auto"/>
              </w:rPr>
              <w:footnoteReference w:id="65"/>
            </w:r>
          </w:p>
        </w:tc>
      </w:tr>
      <w:tr w:rsidR="638002BF" w14:paraId="27C4F3AA" w14:textId="77777777" w:rsidTr="0BC33294">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tcPr>
          <w:p w14:paraId="3284A5BE" w14:textId="2833FE5E" w:rsidR="638002BF" w:rsidRPr="00C950D7" w:rsidRDefault="638002BF" w:rsidP="00C950D7">
            <w:pPr>
              <w:pStyle w:val="BillADPara"/>
              <w:numPr>
                <w:ilvl w:val="0"/>
                <w:numId w:val="0"/>
              </w:numPr>
              <w:ind w:left="360"/>
            </w:pPr>
            <w:r w:rsidRPr="00C950D7">
              <w:t xml:space="preserve">Reporting to Parliament </w:t>
            </w:r>
          </w:p>
        </w:tc>
        <w:tc>
          <w:tcPr>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358714C1" w14:textId="14DC9F51" w:rsidR="638002BF" w:rsidRDefault="638002BF" w:rsidP="00C950D7">
            <w:pPr>
              <w:pStyle w:val="BillADPara"/>
              <w:numPr>
                <w:ilvl w:val="0"/>
                <w:numId w:val="0"/>
              </w:numPr>
              <w:ind w:left="360"/>
            </w:pPr>
            <w:r>
              <w:t>£42,700</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tcPr>
          <w:p w14:paraId="77EDE64C" w14:textId="3BBEE1AB" w:rsidR="638002BF" w:rsidRDefault="638002BF" w:rsidP="00C950D7">
            <w:pPr>
              <w:pStyle w:val="BillADPara"/>
              <w:numPr>
                <w:ilvl w:val="0"/>
                <w:numId w:val="0"/>
              </w:numPr>
              <w:ind w:left="360"/>
            </w:pPr>
            <w:r>
              <w:t>£42,700</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0C1069D1" w14:textId="5A3E7221" w:rsidR="638002BF" w:rsidRDefault="638002BF" w:rsidP="00C950D7">
            <w:pPr>
              <w:pStyle w:val="BillADPara"/>
              <w:numPr>
                <w:ilvl w:val="0"/>
                <w:numId w:val="0"/>
              </w:numPr>
              <w:ind w:left="360"/>
            </w:pPr>
            <w:r>
              <w:t>£42,700</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3202B1AA" w14:textId="2FAAE3B4" w:rsidR="638002BF" w:rsidRDefault="638002BF" w:rsidP="00C950D7">
            <w:pPr>
              <w:pStyle w:val="BillADPara"/>
              <w:numPr>
                <w:ilvl w:val="0"/>
                <w:numId w:val="0"/>
              </w:numPr>
              <w:ind w:left="360"/>
            </w:pPr>
            <w:r>
              <w:t>£42,700</w:t>
            </w:r>
          </w:p>
        </w:tc>
      </w:tr>
      <w:tr w:rsidR="638002BF" w14:paraId="3B9D087A" w14:textId="77777777" w:rsidTr="0BC33294">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tcPr>
          <w:p w14:paraId="5380BE25" w14:textId="0BCE34B5" w:rsidR="638002BF" w:rsidRPr="00C950D7" w:rsidRDefault="638002BF" w:rsidP="00C950D7">
            <w:pPr>
              <w:pStyle w:val="BillADPara"/>
              <w:numPr>
                <w:ilvl w:val="0"/>
                <w:numId w:val="0"/>
              </w:numPr>
              <w:ind w:left="360"/>
            </w:pPr>
            <w:r w:rsidRPr="00C950D7">
              <w:t xml:space="preserve">Code of practice </w:t>
            </w:r>
          </w:p>
        </w:tc>
        <w:tc>
          <w:tcPr>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3FC2CE1F" w14:textId="61BFDD87" w:rsidR="638002BF" w:rsidRDefault="638002BF" w:rsidP="00C950D7">
            <w:pPr>
              <w:pStyle w:val="BillADPara"/>
              <w:numPr>
                <w:ilvl w:val="0"/>
                <w:numId w:val="0"/>
              </w:numPr>
            </w:pPr>
            <w:r>
              <w:t>£10,200</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tcPr>
          <w:p w14:paraId="5F595BFD" w14:textId="14E9F6B2" w:rsidR="638002BF" w:rsidRDefault="638002BF" w:rsidP="00C950D7">
            <w:pPr>
              <w:pStyle w:val="BillADPara"/>
              <w:numPr>
                <w:ilvl w:val="0"/>
                <w:numId w:val="0"/>
              </w:numPr>
            </w:pPr>
            <w:r>
              <w:t>£10,200</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03AB47EF" w14:textId="24966044" w:rsidR="638002BF" w:rsidRDefault="638002BF" w:rsidP="00C950D7">
            <w:pPr>
              <w:pStyle w:val="BillADPara"/>
              <w:numPr>
                <w:ilvl w:val="0"/>
                <w:numId w:val="0"/>
              </w:numPr>
            </w:pPr>
            <w:r>
              <w:t>0 (</w:t>
            </w:r>
            <w:r w:rsidR="621F8C52">
              <w:t xml:space="preserve">in a year </w:t>
            </w:r>
            <w:r>
              <w:t xml:space="preserve">where revision to the </w:t>
            </w:r>
            <w:r w:rsidR="69168670">
              <w:t>C</w:t>
            </w:r>
            <w:r>
              <w:t>ode is not required)</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62743761" w14:textId="6547D775" w:rsidR="638002BF" w:rsidRDefault="638002BF" w:rsidP="00C950D7">
            <w:pPr>
              <w:pStyle w:val="BillADPara"/>
              <w:numPr>
                <w:ilvl w:val="0"/>
                <w:numId w:val="0"/>
              </w:numPr>
            </w:pPr>
            <w:r>
              <w:t>£10</w:t>
            </w:r>
            <w:r w:rsidR="1C0D256C">
              <w:t>,</w:t>
            </w:r>
            <w:r>
              <w:t>200 (</w:t>
            </w:r>
            <w:r w:rsidR="48AB9A7C">
              <w:t xml:space="preserve">in a year </w:t>
            </w:r>
            <w:r>
              <w:t xml:space="preserve">where notable revision to </w:t>
            </w:r>
            <w:r w:rsidR="0DEFDAC6">
              <w:t>C</w:t>
            </w:r>
            <w:r>
              <w:t>ode is required)</w:t>
            </w:r>
          </w:p>
        </w:tc>
      </w:tr>
      <w:tr w:rsidR="638002BF" w14:paraId="1320B41F" w14:textId="77777777" w:rsidTr="0BC33294">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tcPr>
          <w:p w14:paraId="254440A5" w14:textId="7553CBC8" w:rsidR="638002BF" w:rsidRPr="00C950D7" w:rsidRDefault="638002BF" w:rsidP="00C950D7">
            <w:pPr>
              <w:pStyle w:val="BillADPara"/>
              <w:numPr>
                <w:ilvl w:val="0"/>
                <w:numId w:val="0"/>
              </w:numPr>
              <w:ind w:left="360"/>
            </w:pPr>
            <w:r w:rsidRPr="00C950D7">
              <w:t>Staff training</w:t>
            </w:r>
          </w:p>
        </w:tc>
        <w:tc>
          <w:tcPr>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699F6A2D" w14:textId="1E32DDAF" w:rsidR="638002BF" w:rsidRDefault="638002BF" w:rsidP="00C950D7">
            <w:pPr>
              <w:pStyle w:val="BillADPara"/>
              <w:numPr>
                <w:ilvl w:val="0"/>
                <w:numId w:val="0"/>
              </w:numPr>
              <w:ind w:left="360"/>
            </w:pPr>
            <w:r>
              <w:t>£200,000</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tcPr>
          <w:p w14:paraId="3F29A1A2" w14:textId="3DBA1191" w:rsidR="638002BF" w:rsidRDefault="638002BF" w:rsidP="00C950D7">
            <w:pPr>
              <w:pStyle w:val="BillADPara"/>
              <w:numPr>
                <w:ilvl w:val="0"/>
                <w:numId w:val="0"/>
              </w:numPr>
              <w:ind w:left="360"/>
            </w:pPr>
            <w:r>
              <w:t>£200,000</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7D62A41D" w14:textId="08E4BBA2" w:rsidR="638002BF" w:rsidRDefault="638002BF" w:rsidP="00C950D7">
            <w:pPr>
              <w:pStyle w:val="BillADPara"/>
              <w:numPr>
                <w:ilvl w:val="0"/>
                <w:numId w:val="0"/>
              </w:numPr>
              <w:ind w:left="360"/>
            </w:pPr>
            <w:r>
              <w:t>0</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5D907DC4" w14:textId="5B5F4244" w:rsidR="638002BF" w:rsidRDefault="638002BF" w:rsidP="00C950D7">
            <w:pPr>
              <w:pStyle w:val="BillADPara"/>
              <w:numPr>
                <w:ilvl w:val="0"/>
                <w:numId w:val="0"/>
              </w:numPr>
              <w:ind w:left="360"/>
            </w:pPr>
            <w:r>
              <w:t>0</w:t>
            </w:r>
          </w:p>
        </w:tc>
      </w:tr>
      <w:tr w:rsidR="638002BF" w14:paraId="4DF330CB" w14:textId="77777777" w:rsidTr="0BC33294">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tcPr>
          <w:p w14:paraId="1259A845" w14:textId="53F41886" w:rsidR="638002BF" w:rsidRPr="00C950D7" w:rsidRDefault="638002BF" w:rsidP="00C950D7">
            <w:pPr>
              <w:pStyle w:val="BillADPara"/>
              <w:numPr>
                <w:ilvl w:val="0"/>
                <w:numId w:val="0"/>
              </w:numPr>
              <w:ind w:left="360"/>
            </w:pPr>
            <w:r w:rsidRPr="00C950D7">
              <w:t>Total</w:t>
            </w:r>
          </w:p>
        </w:tc>
        <w:tc>
          <w:tcPr>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5933BA1E" w14:textId="01492313" w:rsidR="638002BF" w:rsidRDefault="4E8B00FB" w:rsidP="00C950D7">
            <w:pPr>
              <w:pStyle w:val="BillADPara"/>
              <w:numPr>
                <w:ilvl w:val="0"/>
                <w:numId w:val="0"/>
              </w:numPr>
              <w:ind w:left="360"/>
            </w:pPr>
            <w:r>
              <w:t>£</w:t>
            </w:r>
            <w:r w:rsidR="00F67821" w:rsidRPr="00F67821">
              <w:t>29,009,168</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tcPr>
          <w:p w14:paraId="7510C43A" w14:textId="6DD331D8" w:rsidR="638002BF" w:rsidRDefault="7A345A2E" w:rsidP="00C950D7">
            <w:pPr>
              <w:pStyle w:val="BillADPara"/>
              <w:numPr>
                <w:ilvl w:val="0"/>
                <w:numId w:val="0"/>
              </w:numPr>
              <w:ind w:left="360"/>
            </w:pPr>
            <w:r>
              <w:t>£</w:t>
            </w:r>
            <w:r w:rsidR="00F67821" w:rsidRPr="00F67821">
              <w:t>38,509,168</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6A0B5F6F" w14:textId="5A2C102C" w:rsidR="638002BF" w:rsidRDefault="7A345A2E" w:rsidP="00C950D7">
            <w:pPr>
              <w:pStyle w:val="BillADPara"/>
              <w:numPr>
                <w:ilvl w:val="0"/>
                <w:numId w:val="0"/>
              </w:numPr>
              <w:ind w:left="360"/>
            </w:pPr>
            <w:r>
              <w:t>£</w:t>
            </w:r>
            <w:r w:rsidR="00F67821" w:rsidRPr="00F67821">
              <w:t>28,542,700</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17D7A195" w14:textId="67755228" w:rsidR="638002BF" w:rsidRDefault="1AF88395" w:rsidP="00C950D7">
            <w:pPr>
              <w:pStyle w:val="BillADPara"/>
              <w:numPr>
                <w:ilvl w:val="0"/>
                <w:numId w:val="0"/>
              </w:numPr>
              <w:ind w:left="360"/>
            </w:pPr>
            <w:r>
              <w:t>£</w:t>
            </w:r>
            <w:r w:rsidR="00F67821" w:rsidRPr="00F67821">
              <w:t>38,209,168</w:t>
            </w:r>
          </w:p>
        </w:tc>
      </w:tr>
    </w:tbl>
    <w:p w14:paraId="2FE2BF6F" w14:textId="4440B747" w:rsidR="638002BF" w:rsidRDefault="638002BF" w:rsidP="00C950D7">
      <w:pPr>
        <w:pStyle w:val="BillADPara"/>
        <w:numPr>
          <w:ilvl w:val="0"/>
          <w:numId w:val="0"/>
        </w:numPr>
        <w:ind w:left="360"/>
      </w:pPr>
    </w:p>
    <w:p w14:paraId="35FA1926" w14:textId="3B861852" w:rsidR="6007B2DF" w:rsidRDefault="0B35409A" w:rsidP="00C950D7">
      <w:pPr>
        <w:pStyle w:val="BillADPara"/>
        <w:numPr>
          <w:ilvl w:val="0"/>
          <w:numId w:val="0"/>
        </w:numPr>
        <w:ind w:left="360"/>
      </w:pPr>
      <w:r w:rsidRPr="00C950D7">
        <w:t>Table</w:t>
      </w:r>
      <w:r>
        <w:t xml:space="preserve"> </w:t>
      </w:r>
      <w:r w:rsidRPr="00C950D7">
        <w:t>2</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5"/>
        <w:gridCol w:w="1785"/>
        <w:gridCol w:w="1800"/>
        <w:gridCol w:w="1635"/>
        <w:gridCol w:w="1635"/>
      </w:tblGrid>
      <w:tr w:rsidR="6007B2DF" w14:paraId="4F3457AE" w14:textId="77777777" w:rsidTr="0BC33294">
        <w:trPr>
          <w:trHeight w:val="300"/>
        </w:trPr>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2C072FCA" w14:textId="7F9DD022" w:rsidR="6007B2DF" w:rsidRPr="00C950D7" w:rsidRDefault="18FCC489" w:rsidP="00C950D7">
            <w:pPr>
              <w:pStyle w:val="BillADPara"/>
              <w:numPr>
                <w:ilvl w:val="0"/>
                <w:numId w:val="0"/>
              </w:numPr>
            </w:pPr>
            <w:r w:rsidRPr="00C950D7">
              <w:t>Organisation</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1F84B3D9" w14:textId="2CCD1C90" w:rsidR="6007B2DF" w:rsidRDefault="62BA11BD" w:rsidP="00C950D7">
            <w:pPr>
              <w:pStyle w:val="BillADPara"/>
              <w:numPr>
                <w:ilvl w:val="0"/>
                <w:numId w:val="0"/>
              </w:numPr>
            </w:pPr>
            <w:r>
              <w:t>Year 1 cost</w:t>
            </w:r>
            <w:r w:rsidR="00C950D7">
              <w:t xml:space="preserve"> </w:t>
            </w:r>
            <w:r>
              <w:t>(low)</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4A97A723" w14:textId="2CCDFA84" w:rsidR="6007B2DF" w:rsidRDefault="62BA11BD" w:rsidP="00C950D7">
            <w:pPr>
              <w:pStyle w:val="BillADPara"/>
              <w:numPr>
                <w:ilvl w:val="0"/>
                <w:numId w:val="0"/>
              </w:numPr>
            </w:pPr>
            <w:r>
              <w:t>Year 1 cost (high)</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4AC66B1D" w14:textId="3CD5DB98" w:rsidR="6007B2DF" w:rsidRDefault="62BA11BD" w:rsidP="00C950D7">
            <w:pPr>
              <w:pStyle w:val="BillADPara"/>
              <w:numPr>
                <w:ilvl w:val="0"/>
                <w:numId w:val="0"/>
              </w:numPr>
            </w:pPr>
            <w:r>
              <w:t>Ongoing cost (low)</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303E2AA2" w14:textId="5CC572DC" w:rsidR="6007B2DF" w:rsidRDefault="62BA11BD" w:rsidP="00C950D7">
            <w:pPr>
              <w:pStyle w:val="BillADPara"/>
              <w:numPr>
                <w:ilvl w:val="0"/>
                <w:numId w:val="0"/>
              </w:numPr>
              <w:ind w:left="360"/>
            </w:pPr>
            <w:r>
              <w:t>Ongoing cost (high)</w:t>
            </w:r>
          </w:p>
        </w:tc>
      </w:tr>
      <w:tr w:rsidR="6007B2DF" w14:paraId="6229268B" w14:textId="77777777" w:rsidTr="0BC33294">
        <w:trPr>
          <w:trHeight w:val="300"/>
        </w:trPr>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0CCE7609" w14:textId="0BF31710" w:rsidR="6007B2DF" w:rsidRDefault="62BA11BD" w:rsidP="00C950D7">
            <w:pPr>
              <w:pStyle w:val="BillADPara"/>
              <w:numPr>
                <w:ilvl w:val="0"/>
                <w:numId w:val="0"/>
              </w:numPr>
            </w:pPr>
            <w:r>
              <w:t xml:space="preserve">Scottish Administration </w:t>
            </w:r>
          </w:p>
          <w:p w14:paraId="444F76BD" w14:textId="00AEBD99" w:rsidR="6007B2DF" w:rsidRDefault="62BA11BD" w:rsidP="00C950D7">
            <w:pPr>
              <w:pStyle w:val="BillADPara"/>
              <w:numPr>
                <w:ilvl w:val="0"/>
                <w:numId w:val="0"/>
              </w:numPr>
            </w:pPr>
            <w:r>
              <w:t>(</w:t>
            </w:r>
            <w:proofErr w:type="gramStart"/>
            <w:r>
              <w:t>including</w:t>
            </w:r>
            <w:proofErr w:type="gramEnd"/>
            <w:r>
              <w:t xml:space="preserve"> SG managed funding, funding allocated on through the </w:t>
            </w:r>
            <w:proofErr w:type="spellStart"/>
            <w:r>
              <w:t>Corra</w:t>
            </w:r>
            <w:proofErr w:type="spellEnd"/>
            <w:r>
              <w:t xml:space="preserve"> Foundation and funding allocated to CFOs)</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68F0CC47" w14:textId="1ADDB122" w:rsidR="6007B2DF" w:rsidRDefault="3F21EEEC" w:rsidP="00C950D7">
            <w:pPr>
              <w:pStyle w:val="BillADPara"/>
              <w:numPr>
                <w:ilvl w:val="0"/>
                <w:numId w:val="0"/>
              </w:numPr>
              <w:ind w:left="360"/>
              <w:rPr>
                <w:color w:val="FF0000"/>
              </w:rPr>
            </w:pPr>
            <w:r>
              <w:t>£</w:t>
            </w:r>
            <w:r w:rsidR="00725B0A" w:rsidRPr="00725B0A">
              <w:t>7,252,292</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63F84932" w14:textId="45E12EB5" w:rsidR="6007B2DF" w:rsidRDefault="3F21EEEC" w:rsidP="00C950D7">
            <w:pPr>
              <w:pStyle w:val="BillADPara"/>
              <w:numPr>
                <w:ilvl w:val="0"/>
                <w:numId w:val="0"/>
              </w:numPr>
              <w:ind w:left="360"/>
            </w:pPr>
            <w:r>
              <w:t>£</w:t>
            </w:r>
            <w:r w:rsidR="00725B0A" w:rsidRPr="00725B0A">
              <w:t>9,627,292</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141E0680" w14:textId="6AC9A8EC" w:rsidR="6007B2DF" w:rsidRDefault="453277A4" w:rsidP="00C950D7">
            <w:pPr>
              <w:pStyle w:val="BillADPara"/>
              <w:numPr>
                <w:ilvl w:val="0"/>
                <w:numId w:val="0"/>
              </w:numPr>
            </w:pPr>
            <w:r>
              <w:t>£</w:t>
            </w:r>
            <w:r w:rsidR="00725B0A" w:rsidRPr="00725B0A">
              <w:t>7,135,675</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259BABF4" w14:textId="320F6765" w:rsidR="6007B2DF" w:rsidRDefault="66169641" w:rsidP="00C950D7">
            <w:pPr>
              <w:pStyle w:val="BillADPara"/>
              <w:numPr>
                <w:ilvl w:val="0"/>
                <w:numId w:val="0"/>
              </w:numPr>
            </w:pPr>
            <w:r>
              <w:t>£</w:t>
            </w:r>
            <w:r w:rsidR="00725B0A" w:rsidRPr="00725B0A">
              <w:t>9,552,292</w:t>
            </w:r>
          </w:p>
        </w:tc>
      </w:tr>
      <w:tr w:rsidR="6007B2DF" w14:paraId="5D78C1AE" w14:textId="77777777" w:rsidTr="0BC33294">
        <w:trPr>
          <w:trHeight w:val="300"/>
        </w:trPr>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6EBD91CA" w14:textId="01284842" w:rsidR="6007B2DF" w:rsidRDefault="62BA11BD" w:rsidP="00C950D7">
            <w:pPr>
              <w:pStyle w:val="BillADPara"/>
              <w:numPr>
                <w:ilvl w:val="0"/>
                <w:numId w:val="0"/>
              </w:numPr>
            </w:pPr>
            <w:r>
              <w:t xml:space="preserve">Health </w:t>
            </w:r>
            <w:r w:rsidR="24BD0CDB">
              <w:t>B</w:t>
            </w:r>
            <w:r>
              <w:t>oards</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0E32970C" w14:textId="30A03AB2" w:rsidR="6007B2DF" w:rsidRDefault="62BA11BD" w:rsidP="00C950D7">
            <w:pPr>
              <w:pStyle w:val="BillADPara"/>
              <w:numPr>
                <w:ilvl w:val="0"/>
                <w:numId w:val="0"/>
              </w:numPr>
            </w:pPr>
            <w:bookmarkStart w:id="0" w:name="_Hlk164681456"/>
            <w:r>
              <w:t>£</w:t>
            </w:r>
            <w:r w:rsidR="00725B0A" w:rsidRPr="00725B0A">
              <w:t>11,603,667</w:t>
            </w:r>
            <w:bookmarkEnd w:id="0"/>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65FF497E" w14:textId="3A3FF914" w:rsidR="6007B2DF" w:rsidRDefault="62BA11BD" w:rsidP="00C950D7">
            <w:pPr>
              <w:pStyle w:val="BillADPara"/>
              <w:numPr>
                <w:ilvl w:val="0"/>
                <w:numId w:val="0"/>
              </w:numPr>
            </w:pPr>
            <w:r>
              <w:t>£</w:t>
            </w:r>
            <w:bookmarkStart w:id="1" w:name="_Hlk164681486"/>
            <w:r w:rsidR="00725B0A" w:rsidRPr="00725B0A">
              <w:t>15,403,667</w:t>
            </w:r>
            <w:bookmarkEnd w:id="1"/>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0EB93038" w14:textId="1F6E0C2D" w:rsidR="6007B2DF" w:rsidRDefault="62BA11BD" w:rsidP="00C950D7">
            <w:pPr>
              <w:pStyle w:val="BillADPara"/>
              <w:numPr>
                <w:ilvl w:val="0"/>
                <w:numId w:val="0"/>
              </w:numPr>
            </w:pPr>
            <w:r>
              <w:t>£</w:t>
            </w:r>
            <w:r w:rsidR="00725B0A" w:rsidRPr="00725B0A">
              <w:t>11,417,080</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3C94FDFE" w14:textId="2FEA5AB9" w:rsidR="6007B2DF" w:rsidRDefault="62BA11BD" w:rsidP="00C950D7">
            <w:pPr>
              <w:pStyle w:val="BillADPara"/>
              <w:numPr>
                <w:ilvl w:val="0"/>
                <w:numId w:val="0"/>
              </w:numPr>
            </w:pPr>
            <w:r>
              <w:t>£</w:t>
            </w:r>
            <w:r w:rsidR="00725B0A" w:rsidRPr="00725B0A">
              <w:t>15,283,667</w:t>
            </w:r>
          </w:p>
        </w:tc>
      </w:tr>
      <w:tr w:rsidR="6007B2DF" w14:paraId="48B3C6F0" w14:textId="77777777" w:rsidTr="0BC33294">
        <w:trPr>
          <w:trHeight w:val="300"/>
        </w:trPr>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5644447D" w14:textId="14A52F53" w:rsidR="6007B2DF" w:rsidRDefault="62BA11BD" w:rsidP="00C950D7">
            <w:pPr>
              <w:pStyle w:val="BillADPara"/>
              <w:numPr>
                <w:ilvl w:val="0"/>
                <w:numId w:val="0"/>
              </w:numPr>
            </w:pPr>
            <w:r>
              <w:t>ADPs</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53E16345" w14:textId="16F873E6" w:rsidR="6007B2DF" w:rsidRDefault="62BA11BD" w:rsidP="00C950D7">
            <w:pPr>
              <w:pStyle w:val="BillADPara"/>
              <w:numPr>
                <w:ilvl w:val="0"/>
                <w:numId w:val="0"/>
              </w:numPr>
            </w:pPr>
            <w:r>
              <w:t>£</w:t>
            </w:r>
            <w:r w:rsidR="00725B0A" w:rsidRPr="00725B0A">
              <w:t>10,153,20</w:t>
            </w:r>
            <w:r w:rsidR="00725B0A">
              <w:t>9</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08CFB21A" w14:textId="54830E81" w:rsidR="6007B2DF" w:rsidRDefault="62BA11BD" w:rsidP="00C950D7">
            <w:pPr>
              <w:pStyle w:val="BillADPara"/>
              <w:numPr>
                <w:ilvl w:val="0"/>
                <w:numId w:val="0"/>
              </w:numPr>
            </w:pPr>
            <w:r>
              <w:t>£</w:t>
            </w:r>
            <w:r w:rsidR="00725B0A" w:rsidRPr="00725B0A">
              <w:t>13,478,20</w:t>
            </w:r>
            <w:r w:rsidR="00725B0A">
              <w:t>9</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5FCD385C" w14:textId="42D03D6F" w:rsidR="6007B2DF" w:rsidRDefault="71B66179" w:rsidP="00C950D7">
            <w:pPr>
              <w:pStyle w:val="BillADPara"/>
              <w:numPr>
                <w:ilvl w:val="0"/>
                <w:numId w:val="0"/>
              </w:numPr>
            </w:pPr>
            <w:r>
              <w:t>£</w:t>
            </w:r>
            <w:r w:rsidR="00725B0A" w:rsidRPr="00725B0A">
              <w:t>9,989,945</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6C85623B" w14:textId="49D1AB9B" w:rsidR="6007B2DF" w:rsidRDefault="1D9845F9" w:rsidP="00C950D7">
            <w:pPr>
              <w:pStyle w:val="BillADPara"/>
              <w:numPr>
                <w:ilvl w:val="0"/>
                <w:numId w:val="0"/>
              </w:numPr>
            </w:pPr>
            <w:r>
              <w:t>£</w:t>
            </w:r>
            <w:r w:rsidR="00725B0A" w:rsidRPr="00725B0A">
              <w:t>13,373,20</w:t>
            </w:r>
            <w:r w:rsidR="00725B0A">
              <w:t>9</w:t>
            </w:r>
          </w:p>
          <w:p w14:paraId="23269575" w14:textId="1C8A2513" w:rsidR="6007B2DF" w:rsidRDefault="6007B2DF" w:rsidP="00C950D7">
            <w:pPr>
              <w:pStyle w:val="BillADPara"/>
              <w:numPr>
                <w:ilvl w:val="0"/>
                <w:numId w:val="0"/>
              </w:numPr>
            </w:pPr>
          </w:p>
        </w:tc>
      </w:tr>
      <w:tr w:rsidR="6007B2DF" w14:paraId="5D36C992" w14:textId="77777777" w:rsidTr="0BC33294">
        <w:trPr>
          <w:trHeight w:val="300"/>
        </w:trPr>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482C5A5C" w14:textId="41DE33D1" w:rsidR="6007B2DF" w:rsidRDefault="62BA11BD" w:rsidP="00C950D7">
            <w:pPr>
              <w:pStyle w:val="BillADPara"/>
              <w:numPr>
                <w:ilvl w:val="0"/>
                <w:numId w:val="0"/>
              </w:numPr>
            </w:pPr>
            <w:r>
              <w:t>Total</w:t>
            </w:r>
            <w:r w:rsidR="3C82B991">
              <w:t xml:space="preserve"> cost</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492C2F2B" w14:textId="0BB142D0" w:rsidR="6007B2DF" w:rsidRDefault="62BA11BD" w:rsidP="00C950D7">
            <w:pPr>
              <w:pStyle w:val="BillADPara"/>
              <w:numPr>
                <w:ilvl w:val="0"/>
                <w:numId w:val="0"/>
              </w:numPr>
            </w:pPr>
            <w:r>
              <w:t>£</w:t>
            </w:r>
            <w:r w:rsidR="00725B0A" w:rsidRPr="00F67821">
              <w:t>29,009,168</w:t>
            </w:r>
            <w:r w:rsidR="6007B2DF">
              <w:tab/>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42CF0E86" w14:textId="2A5CCF73" w:rsidR="6007B2DF" w:rsidRDefault="62BA11BD" w:rsidP="00C950D7">
            <w:pPr>
              <w:pStyle w:val="BillADPara"/>
              <w:numPr>
                <w:ilvl w:val="0"/>
                <w:numId w:val="0"/>
              </w:numPr>
            </w:pPr>
            <w:r>
              <w:t>£</w:t>
            </w:r>
            <w:r w:rsidR="00725B0A" w:rsidRPr="00F67821">
              <w:t>38,509,168</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15435D71" w14:textId="458F36DC" w:rsidR="6007B2DF" w:rsidRDefault="62BA11BD" w:rsidP="00C950D7">
            <w:pPr>
              <w:pStyle w:val="BillADPara"/>
              <w:numPr>
                <w:ilvl w:val="0"/>
                <w:numId w:val="0"/>
              </w:numPr>
            </w:pPr>
            <w:r>
              <w:t>£</w:t>
            </w:r>
            <w:r w:rsidR="00725B0A" w:rsidRPr="00F67821">
              <w:t>28,542,700</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1559D452" w14:textId="223865B9" w:rsidR="6007B2DF" w:rsidRDefault="62BA11BD" w:rsidP="00C950D7">
            <w:pPr>
              <w:pStyle w:val="BillADPara"/>
              <w:numPr>
                <w:ilvl w:val="0"/>
                <w:numId w:val="0"/>
              </w:numPr>
            </w:pPr>
            <w:r>
              <w:t>£</w:t>
            </w:r>
            <w:r w:rsidR="00725B0A" w:rsidRPr="00F67821">
              <w:t>38,209,168</w:t>
            </w:r>
          </w:p>
        </w:tc>
      </w:tr>
    </w:tbl>
    <w:p w14:paraId="4071EDDE" w14:textId="3598B958" w:rsidR="6007B2DF" w:rsidRDefault="6007B2DF" w:rsidP="00C950D7">
      <w:pPr>
        <w:pStyle w:val="BillADPara"/>
        <w:numPr>
          <w:ilvl w:val="0"/>
          <w:numId w:val="0"/>
        </w:numPr>
        <w:ind w:left="360"/>
      </w:pPr>
    </w:p>
    <w:p w14:paraId="789BABFC" w14:textId="49BE4322" w:rsidR="003D2B36" w:rsidRDefault="00CC1F03" w:rsidP="000D3F16">
      <w:pPr>
        <w:pStyle w:val="BillADHeading2"/>
      </w:pPr>
      <w:r>
        <w:t>C</w:t>
      </w:r>
      <w:r w:rsidR="003D2B36">
        <w:t xml:space="preserve">osts on other bodies, </w:t>
      </w:r>
      <w:r w:rsidR="008B6995">
        <w:t>INDIVIDUALS</w:t>
      </w:r>
      <w:r w:rsidR="003D2B36">
        <w:t xml:space="preserve"> and businesses</w:t>
      </w:r>
    </w:p>
    <w:p w14:paraId="3FF394CA" w14:textId="705A10CA" w:rsidR="00B6015D" w:rsidRDefault="5FDDF23C" w:rsidP="00C950D7">
      <w:pPr>
        <w:pStyle w:val="BillADPara"/>
      </w:pPr>
      <w:r>
        <w:t xml:space="preserve">The </w:t>
      </w:r>
      <w:proofErr w:type="spellStart"/>
      <w:r>
        <w:t>Corra</w:t>
      </w:r>
      <w:proofErr w:type="spellEnd"/>
      <w:r>
        <w:t xml:space="preserve"> Foundation is a grant-making charity which has administered Scottish Government funding as part of the Scottish Government’s National Drugs Mission. </w:t>
      </w:r>
      <w:r w:rsidR="70186B84">
        <w:t xml:space="preserve">£13 million was allocated in grants via </w:t>
      </w:r>
      <w:proofErr w:type="spellStart"/>
      <w:r w:rsidR="70186B84">
        <w:t>Corra</w:t>
      </w:r>
      <w:proofErr w:type="spellEnd"/>
      <w:r w:rsidR="70186B84">
        <w:t xml:space="preserve"> in 2022-23.</w:t>
      </w:r>
      <w:r w:rsidR="00C41F70">
        <w:rPr>
          <w:rStyle w:val="FootnoteReference"/>
        </w:rPr>
        <w:footnoteReference w:id="66"/>
      </w:r>
      <w:r w:rsidR="70186B84">
        <w:t xml:space="preserve"> </w:t>
      </w:r>
      <w:r>
        <w:t xml:space="preserve">The report for the Scottish Government funded projects between April 2021 and March 2023 states that: </w:t>
      </w:r>
    </w:p>
    <w:p w14:paraId="3665FE8F" w14:textId="6600A31B" w:rsidR="00B6015D" w:rsidRDefault="5FDDF23C" w:rsidP="006932EF">
      <w:pPr>
        <w:pStyle w:val="BillADQuotedText"/>
      </w:pPr>
      <w:r>
        <w:t xml:space="preserve">“All funds administered through the </w:t>
      </w:r>
      <w:proofErr w:type="spellStart"/>
      <w:r>
        <w:t>Corra</w:t>
      </w:r>
      <w:proofErr w:type="spellEnd"/>
      <w:r>
        <w:t xml:space="preserve"> Foundation make grants available to projects which make a difference to people and communities. Through these funds, third sector and grassroots organisations can access varied levels of funding and support, ensuring that this funding has a wide and deep impact on frontline services across Scotland.”</w:t>
      </w:r>
      <w:r w:rsidR="00B6015D">
        <w:rPr>
          <w:rStyle w:val="FootnoteReference"/>
        </w:rPr>
        <w:footnoteReference w:id="67"/>
      </w:r>
    </w:p>
    <w:p w14:paraId="54C6302B" w14:textId="0C5243F6" w:rsidR="003758E5" w:rsidRDefault="000D3F16" w:rsidP="00C950D7">
      <w:pPr>
        <w:pStyle w:val="BillADPara"/>
      </w:pPr>
      <w:r>
        <w:t>I</w:t>
      </w:r>
      <w:r w:rsidR="00C41F70">
        <w:t>f there is an increase in the number of people beginning treatment journeys on the basis projected above, then</w:t>
      </w:r>
      <w:r>
        <w:t xml:space="preserve"> it would be for the Scottish Government to decide how such funding to support these additional treatment journeys would be allocated. </w:t>
      </w:r>
      <w:r w:rsidR="00B6015D">
        <w:t>Additional</w:t>
      </w:r>
      <w:r>
        <w:t xml:space="preserve"> funding could be allocated </w:t>
      </w:r>
      <w:r w:rsidR="00B6015D">
        <w:t xml:space="preserve">entirely </w:t>
      </w:r>
      <w:r>
        <w:t>directly</w:t>
      </w:r>
      <w:r w:rsidR="00993875">
        <w:t xml:space="preserve"> to Health Boards,</w:t>
      </w:r>
      <w:r w:rsidR="00B6015D">
        <w:t xml:space="preserve"> entirely</w:t>
      </w:r>
      <w:r>
        <w:t xml:space="preserve"> through ADPs</w:t>
      </w:r>
      <w:r w:rsidR="00931E52">
        <w:t>,</w:t>
      </w:r>
      <w:r>
        <w:t xml:space="preserve"> </w:t>
      </w:r>
      <w:r w:rsidR="00B6015D">
        <w:t>or a proportion of the additional funding could be allocated through</w:t>
      </w:r>
      <w:r>
        <w:t xml:space="preserve"> grants administered by the </w:t>
      </w:r>
      <w:proofErr w:type="spellStart"/>
      <w:r>
        <w:t>Corra</w:t>
      </w:r>
      <w:proofErr w:type="spellEnd"/>
      <w:r>
        <w:t xml:space="preserve"> Foundation. On that basis there are no definite assumed additional costs for the </w:t>
      </w:r>
      <w:proofErr w:type="spellStart"/>
      <w:r>
        <w:t>Corra</w:t>
      </w:r>
      <w:proofErr w:type="spellEnd"/>
      <w:r>
        <w:t xml:space="preserve"> Foundation</w:t>
      </w:r>
      <w:r w:rsidR="00931E52">
        <w:t xml:space="preserve"> under this Bill</w:t>
      </w:r>
      <w:r>
        <w:t>.</w:t>
      </w:r>
    </w:p>
    <w:p w14:paraId="44F668AA" w14:textId="09880490" w:rsidR="00732C70" w:rsidRDefault="00732C70" w:rsidP="00C950D7">
      <w:pPr>
        <w:pStyle w:val="BillADPara"/>
      </w:pPr>
      <w:r>
        <w:t>There are also no definite assumed additional costs for the wider third sector. As detailed above, third sector providers are key to the delivery of treatment services including residential rehabilitation and stabilisation services. It is assumed that the substantial increase in funding for treatment services outlined above will include some increased provision through the third sector</w:t>
      </w:r>
      <w:r w:rsidR="3444A5BA">
        <w:t xml:space="preserve"> including through grants administered through the </w:t>
      </w:r>
      <w:proofErr w:type="spellStart"/>
      <w:r w:rsidR="3444A5BA">
        <w:t>Corra</w:t>
      </w:r>
      <w:proofErr w:type="spellEnd"/>
      <w:r w:rsidR="3444A5BA">
        <w:t xml:space="preserve"> Foundation. In addition, it is assumed that increased service provision may increase funding </w:t>
      </w:r>
      <w:r w:rsidR="5A69DF7F">
        <w:t xml:space="preserve">for any </w:t>
      </w:r>
      <w:r w:rsidR="18C32A50">
        <w:t xml:space="preserve">third sector </w:t>
      </w:r>
      <w:r w:rsidR="5F6549EB">
        <w:t>‘</w:t>
      </w:r>
      <w:r w:rsidR="5A69DF7F">
        <w:t>core funded organisations</w:t>
      </w:r>
      <w:r w:rsidR="69CA67C3">
        <w:t>’</w:t>
      </w:r>
      <w:r w:rsidR="5A69DF7F">
        <w:t xml:space="preserve"> that are involved in direct service provision.</w:t>
      </w:r>
      <w:r w:rsidR="3444A5BA">
        <w:t xml:space="preserve"> </w:t>
      </w:r>
      <w:r w:rsidR="742004E0">
        <w:t xml:space="preserve">The National Mission annual report 2022-23 provides details of the roles of </w:t>
      </w:r>
      <w:proofErr w:type="gramStart"/>
      <w:r w:rsidR="742004E0">
        <w:t>a number of</w:t>
      </w:r>
      <w:proofErr w:type="gramEnd"/>
      <w:r w:rsidR="742004E0">
        <w:t xml:space="preserve"> the main CFOs:</w:t>
      </w:r>
    </w:p>
    <w:p w14:paraId="32D533AA" w14:textId="3857AD88" w:rsidR="57FDE898" w:rsidRDefault="57FDE898" w:rsidP="006932EF">
      <w:pPr>
        <w:pStyle w:val="BillADQuotedText"/>
      </w:pPr>
      <w:r w:rsidRPr="002B4E81">
        <w:rPr>
          <w:rFonts w:eastAsia="Calibri"/>
        </w:rPr>
        <w:t>“</w:t>
      </w:r>
      <w:r w:rsidR="742004E0" w:rsidRPr="002B4E81">
        <w:rPr>
          <w:rFonts w:eastAsia="Calibri"/>
        </w:rPr>
        <w:t>Core funded organisations (CFOs) provide vital expertise and services to support those with substance use problems and their families. This includes peer-led delivery of services and maintaining recovery communities; Crew (Scotland) is a nationwide public health charity that aims to reduce the harm and stigma associated with psychostimulant drug use; With You is a charity that provides free confidential support to people who are experiencing issues with drugs, alcohol, or mental health;  Scottish Families Affected by Alcohol and Drugs support families across Scotland who are affected by a loved one’s substance use and raise awareness of the issues affecting them; Scottish Drugs Forum is a drugs policy and information agency, working to reduce drugs harm in Scotland and provide a wide range of training and support to people who use substances and to people working in the sector; Scottish Recovery Consortium is a recovery-oriented charity that builds and promotes recovery from addictions in Scotland</w:t>
      </w:r>
      <w:r w:rsidR="742004E0" w:rsidRPr="38CB0AE8">
        <w:t>.</w:t>
      </w:r>
      <w:r w:rsidR="43683A7F" w:rsidRPr="38CB0AE8">
        <w:t>”</w:t>
      </w:r>
      <w:r w:rsidRPr="2B795614">
        <w:rPr>
          <w:rStyle w:val="FootnoteReference"/>
        </w:rPr>
        <w:footnoteReference w:id="68"/>
      </w:r>
    </w:p>
    <w:p w14:paraId="04C7EF64" w14:textId="7554E422" w:rsidR="00732C70" w:rsidRDefault="3444A5BA" w:rsidP="00C950D7">
      <w:pPr>
        <w:pStyle w:val="BillADPara"/>
      </w:pPr>
      <w:r>
        <w:t>As set out above</w:t>
      </w:r>
      <w:r w:rsidR="79C4618C">
        <w:t xml:space="preserve"> </w:t>
      </w:r>
      <w:r w:rsidR="21C2C244">
        <w:t xml:space="preserve">these additional costs are being reflected as additional costs on the Scottish Government for further allocation to the </w:t>
      </w:r>
      <w:proofErr w:type="spellStart"/>
      <w:r w:rsidR="21C2C244">
        <w:t>Corra</w:t>
      </w:r>
      <w:proofErr w:type="spellEnd"/>
      <w:r w:rsidR="21C2C244">
        <w:t xml:space="preserve"> Foundation and CFOs as the Scottish Government considers is required.</w:t>
      </w:r>
    </w:p>
    <w:p w14:paraId="7FB059D1" w14:textId="1965DB9B" w:rsidR="00C41F70" w:rsidRPr="000D3F16" w:rsidRDefault="00C41F70" w:rsidP="000D3F16">
      <w:pPr>
        <w:pStyle w:val="BillADHeading2"/>
      </w:pPr>
      <w:r w:rsidRPr="000D3F16">
        <w:t>savings</w:t>
      </w:r>
    </w:p>
    <w:p w14:paraId="4C854CBE" w14:textId="3292BC69" w:rsidR="00C41F70" w:rsidRPr="000D3F16" w:rsidRDefault="00C60B51" w:rsidP="00C950D7">
      <w:pPr>
        <w:pStyle w:val="BillADPara"/>
      </w:pPr>
      <w:r>
        <w:t xml:space="preserve">The </w:t>
      </w:r>
      <w:r w:rsidR="00373583">
        <w:t>M</w:t>
      </w:r>
      <w:r>
        <w:t>ember believes that</w:t>
      </w:r>
      <w:r w:rsidR="00C03AB4">
        <w:t xml:space="preserve"> the </w:t>
      </w:r>
      <w:r>
        <w:t xml:space="preserve">thorough implementation of the </w:t>
      </w:r>
      <w:r w:rsidR="00373583">
        <w:t>B</w:t>
      </w:r>
      <w:r>
        <w:t>ill, including the sustained investment envisaged,</w:t>
      </w:r>
      <w:r w:rsidR="00C03AB4">
        <w:t xml:space="preserve"> will lead to </w:t>
      </w:r>
      <w:r>
        <w:t xml:space="preserve">significant </w:t>
      </w:r>
      <w:r w:rsidR="00C03AB4">
        <w:t>longer</w:t>
      </w:r>
      <w:r>
        <w:t>-</w:t>
      </w:r>
      <w:r w:rsidR="00C03AB4">
        <w:t>term savings</w:t>
      </w:r>
      <w:r>
        <w:t>.</w:t>
      </w:r>
      <w:r w:rsidR="00C03AB4">
        <w:t xml:space="preserve"> </w:t>
      </w:r>
      <w:r>
        <w:t xml:space="preserve">The </w:t>
      </w:r>
      <w:r w:rsidR="00373583">
        <w:t>P</w:t>
      </w:r>
      <w:r>
        <w:t xml:space="preserve">olicy </w:t>
      </w:r>
      <w:r w:rsidR="00373583">
        <w:t>M</w:t>
      </w:r>
      <w:r>
        <w:t>emorandum includes a focus on the transformative impact recovery from addiction can have on the individual, their families and friends, and the</w:t>
      </w:r>
      <w:r w:rsidR="00373583">
        <w:t xml:space="preserve"> wider</w:t>
      </w:r>
      <w:r>
        <w:t xml:space="preserve"> community. These positive individual and societal benefits can also be considered in financial terms, for example in relation to relieving pressures on public services.</w:t>
      </w:r>
    </w:p>
    <w:p w14:paraId="55A1A17D" w14:textId="633337EC" w:rsidR="00C60B51" w:rsidRPr="000D3F16" w:rsidRDefault="4AEAFAC6" w:rsidP="00C950D7">
      <w:pPr>
        <w:pStyle w:val="BillADPara"/>
      </w:pPr>
      <w:r w:rsidRPr="000D3F16">
        <w:t>Public Health Scotland</w:t>
      </w:r>
      <w:r w:rsidR="3FFDD754">
        <w:t>’s</w:t>
      </w:r>
      <w:r w:rsidRPr="000D3F16">
        <w:t xml:space="preserve"> assessment (in 2009) of the total economic and social costs of illicit drug use in Scotland estimates those costs to be around £3.5</w:t>
      </w:r>
      <w:r w:rsidR="00DA26E9">
        <w:t xml:space="preserve"> </w:t>
      </w:r>
      <w:r w:rsidRPr="000D3F16">
        <w:t>b</w:t>
      </w:r>
      <w:r w:rsidR="00DA26E9">
        <w:t>illio</w:t>
      </w:r>
      <w:r w:rsidRPr="000D3F16">
        <w:t>n per year (when adjusted for inflation this figure would be £4.3 billion).</w:t>
      </w:r>
      <w:r w:rsidR="00C60B51" w:rsidRPr="000D3F16">
        <w:rPr>
          <w:rStyle w:val="FootnoteReference"/>
        </w:rPr>
        <w:footnoteReference w:id="69"/>
      </w:r>
    </w:p>
    <w:p w14:paraId="2AE1E677" w14:textId="5702F9DA" w:rsidR="00C03AB4" w:rsidRPr="000D3F16" w:rsidRDefault="7DA280F8" w:rsidP="00C950D7">
      <w:pPr>
        <w:pStyle w:val="BillADPara"/>
      </w:pPr>
      <w:r w:rsidRPr="000D3F16">
        <w:t>In 2021, Dame Carol Black carried out an independent review of drugs in England for the UK Department of Health.</w:t>
      </w:r>
      <w:r w:rsidR="00C03AB4" w:rsidRPr="000D3F16">
        <w:rPr>
          <w:rStyle w:val="FootnoteReference"/>
        </w:rPr>
        <w:footnoteReference w:id="70"/>
      </w:r>
      <w:r w:rsidRPr="000D3F16">
        <w:t xml:space="preserve"> Phase 2 of that report focussed on prevention, </w:t>
      </w:r>
      <w:proofErr w:type="gramStart"/>
      <w:r w:rsidRPr="000D3F16">
        <w:t>treatment</w:t>
      </w:r>
      <w:proofErr w:type="gramEnd"/>
      <w:r w:rsidRPr="000D3F16">
        <w:t xml:space="preserve"> and recovery.</w:t>
      </w:r>
      <w:r w:rsidR="00C03AB4" w:rsidRPr="000D3F16">
        <w:rPr>
          <w:rStyle w:val="FootnoteReference"/>
        </w:rPr>
        <w:footnoteReference w:id="71"/>
      </w:r>
      <w:r w:rsidR="0B157AC1" w:rsidRPr="000D3F16">
        <w:t xml:space="preserve"> That report called for “significant investment in this area</w:t>
      </w:r>
      <w:r w:rsidR="1DB506AC" w:rsidRPr="000D3F16">
        <w:t>”</w:t>
      </w:r>
      <w:r w:rsidR="0B157AC1" w:rsidRPr="000D3F16">
        <w:t>, but argued that:</w:t>
      </w:r>
    </w:p>
    <w:p w14:paraId="3897A1D9" w14:textId="45F2774D" w:rsidR="00C60B51" w:rsidRPr="008705E7" w:rsidRDefault="0B157AC1" w:rsidP="0056214C">
      <w:pPr>
        <w:pStyle w:val="BillADQuotedText"/>
        <w:sectPr w:rsidR="00C60B51" w:rsidRPr="008705E7" w:rsidSect="005C191C">
          <w:headerReference w:type="default" r:id="rId13"/>
          <w:footerReference w:type="default" r:id="rId14"/>
          <w:headerReference w:type="first" r:id="rId15"/>
          <w:footerReference w:type="first" r:id="rId16"/>
          <w:type w:val="oddPage"/>
          <w:pgSz w:w="11907" w:h="16840" w:code="9"/>
          <w:pgMar w:top="1418" w:right="1134" w:bottom="1418" w:left="1134" w:header="720" w:footer="720" w:gutter="284"/>
          <w:pgNumType w:start="1"/>
          <w:cols w:space="720"/>
          <w:titlePg/>
          <w:docGrid w:linePitch="326"/>
        </w:sectPr>
      </w:pPr>
      <w:r w:rsidRPr="000D3F16">
        <w:t>“</w:t>
      </w:r>
      <w:r w:rsidR="2EBB805F" w:rsidRPr="000D3F16">
        <w:t>…</w:t>
      </w:r>
      <w:r w:rsidRPr="000D3F16">
        <w:t>the payoff is handsome: currently each £1 spent on treatment will save £4 from reduced demands on health, prison, law enforcement and emergency services.”</w:t>
      </w:r>
      <w:r w:rsidR="0056214C" w:rsidRPr="000D3F16">
        <w:rPr>
          <w:rStyle w:val="FootnoteReference"/>
        </w:rPr>
        <w:footnoteReference w:id="72"/>
      </w:r>
    </w:p>
    <w:p w14:paraId="2C28CD83" w14:textId="77777777" w:rsidR="00886045" w:rsidRDefault="00886045" w:rsidP="00886045"/>
    <w:p w14:paraId="3460DF9A" w14:textId="77777777" w:rsidR="00886045" w:rsidRDefault="00886045" w:rsidP="00886045"/>
    <w:p w14:paraId="036ED597" w14:textId="77777777" w:rsidR="00886045" w:rsidRDefault="00886045" w:rsidP="00886045"/>
    <w:p w14:paraId="4E04AFA3" w14:textId="77777777" w:rsidR="00886045" w:rsidRDefault="00886045" w:rsidP="00886045"/>
    <w:p w14:paraId="24D2D962" w14:textId="77777777" w:rsidR="00886045" w:rsidRDefault="00886045" w:rsidP="00886045"/>
    <w:p w14:paraId="47EA3DEC" w14:textId="36942EE5" w:rsidR="00886045" w:rsidRPr="00886045" w:rsidRDefault="007C3A15" w:rsidP="00886045">
      <w:pPr>
        <w:jc w:val="center"/>
        <w:rPr>
          <w:b/>
          <w:caps/>
          <w:sz w:val="36"/>
        </w:rPr>
      </w:pPr>
      <w:r>
        <w:rPr>
          <w:b/>
          <w:caps/>
          <w:sz w:val="36"/>
        </w:rPr>
        <w:t xml:space="preserve">RIGHT TO ADDICTION RECOVERY (SCOTLAND) </w:t>
      </w:r>
      <w:r w:rsidR="00886045" w:rsidRPr="00886045">
        <w:rPr>
          <w:b/>
          <w:caps/>
          <w:sz w:val="36"/>
        </w:rPr>
        <w:t>BILL</w:t>
      </w:r>
    </w:p>
    <w:p w14:paraId="00565EDB" w14:textId="77777777" w:rsidR="00886045" w:rsidRDefault="00886045" w:rsidP="00886045"/>
    <w:p w14:paraId="0C819C0D" w14:textId="77777777" w:rsidR="00886045" w:rsidRDefault="00886045" w:rsidP="00886045"/>
    <w:p w14:paraId="634C63CE" w14:textId="77777777" w:rsidR="00886045" w:rsidRDefault="00886045" w:rsidP="00886045"/>
    <w:p w14:paraId="049DD030" w14:textId="77777777" w:rsidR="00886045" w:rsidRDefault="00886045" w:rsidP="006D30CE">
      <w:pPr>
        <w:pStyle w:val="BillADTitleAtEnd"/>
      </w:pPr>
      <w:r>
        <w:t>financial memorandum</w:t>
      </w:r>
    </w:p>
    <w:p w14:paraId="35487D62" w14:textId="77777777" w:rsidR="00886045" w:rsidRDefault="00886045" w:rsidP="00886045"/>
    <w:p w14:paraId="38FED811" w14:textId="77777777" w:rsidR="00886045" w:rsidRDefault="00886045" w:rsidP="00886045"/>
    <w:p w14:paraId="23B3D83F" w14:textId="77777777" w:rsidR="00886045" w:rsidRDefault="00886045" w:rsidP="00886045"/>
    <w:p w14:paraId="457BBB15" w14:textId="77777777" w:rsidR="00886045" w:rsidRDefault="00886045" w:rsidP="00886045"/>
    <w:p w14:paraId="36C4F86F" w14:textId="77777777" w:rsidR="00886045" w:rsidRDefault="00886045" w:rsidP="00886045"/>
    <w:p w14:paraId="3D7B9211" w14:textId="77777777" w:rsidR="00886045" w:rsidRDefault="00886045" w:rsidP="00886045"/>
    <w:p w14:paraId="489F648D" w14:textId="77777777" w:rsidR="00886045" w:rsidRDefault="00886045" w:rsidP="00886045"/>
    <w:p w14:paraId="25E14EEA" w14:textId="77777777" w:rsidR="00886045" w:rsidRDefault="00886045" w:rsidP="00886045"/>
    <w:p w14:paraId="4F9D2ABE" w14:textId="77777777" w:rsidR="00886045" w:rsidRDefault="00886045" w:rsidP="00886045"/>
    <w:p w14:paraId="5B7D9CA7" w14:textId="77777777" w:rsidR="00886045" w:rsidRDefault="00886045" w:rsidP="00886045"/>
    <w:p w14:paraId="7CEFA681" w14:textId="77777777" w:rsidR="00886045" w:rsidRDefault="00886045" w:rsidP="00886045"/>
    <w:p w14:paraId="10D39C07" w14:textId="77777777" w:rsidR="00886045" w:rsidRDefault="00886045" w:rsidP="00886045"/>
    <w:p w14:paraId="21156115" w14:textId="77777777" w:rsidR="00886045" w:rsidRDefault="00886045" w:rsidP="00886045"/>
    <w:p w14:paraId="4C3A205F" w14:textId="77777777" w:rsidR="00886045" w:rsidRDefault="00886045" w:rsidP="00886045">
      <w:pPr>
        <w:autoSpaceDE w:val="0"/>
        <w:autoSpaceDN w:val="0"/>
        <w:adjustRightInd w:val="0"/>
        <w:jc w:val="center"/>
        <w:rPr>
          <w:rFonts w:ascii="Arial" w:hAnsi="Arial" w:cs="Arial"/>
          <w:color w:val="000000"/>
          <w:sz w:val="20"/>
        </w:rPr>
      </w:pPr>
      <w:r>
        <w:rPr>
          <w:rFonts w:ascii="Symbol" w:hAnsi="Symbol" w:cs="Symbol"/>
        </w:rPr>
        <w:t></w:t>
      </w:r>
      <w:r>
        <w:t xml:space="preserve"> </w:t>
      </w:r>
      <w:r>
        <w:rPr>
          <w:rFonts w:ascii="Arial" w:hAnsi="Arial" w:cs="Arial"/>
          <w:color w:val="000000"/>
          <w:sz w:val="20"/>
        </w:rPr>
        <w:t>Parliamentary copyright.  Scottish Parliamentary Corporate Body</w:t>
      </w:r>
    </w:p>
    <w:p w14:paraId="6CF8A9C3" w14:textId="77777777" w:rsidR="00886045" w:rsidRDefault="00886045" w:rsidP="00886045">
      <w:pPr>
        <w:autoSpaceDE w:val="0"/>
        <w:autoSpaceDN w:val="0"/>
        <w:adjustRightInd w:val="0"/>
        <w:jc w:val="center"/>
        <w:rPr>
          <w:rFonts w:ascii="Arial" w:hAnsi="Arial" w:cs="Arial"/>
          <w:color w:val="000000"/>
          <w:sz w:val="20"/>
        </w:rPr>
      </w:pPr>
    </w:p>
    <w:p w14:paraId="1A958219" w14:textId="77777777" w:rsidR="00886045" w:rsidRDefault="00886045" w:rsidP="00886045">
      <w:pPr>
        <w:autoSpaceDE w:val="0"/>
        <w:autoSpaceDN w:val="0"/>
        <w:adjustRightInd w:val="0"/>
        <w:jc w:val="center"/>
        <w:rPr>
          <w:rFonts w:ascii="Arial" w:hAnsi="Arial" w:cs="Arial"/>
          <w:color w:val="000000"/>
          <w:sz w:val="20"/>
        </w:rPr>
      </w:pPr>
      <w:r>
        <w:rPr>
          <w:rFonts w:ascii="Arial" w:hAnsi="Arial" w:cs="Arial"/>
          <w:color w:val="000000"/>
          <w:sz w:val="20"/>
        </w:rPr>
        <w:t>Information on the Scottish Parliament</w:t>
      </w:r>
      <w:r w:rsidR="00281A23">
        <w:rPr>
          <w:rFonts w:ascii="Arial" w:hAnsi="Arial" w:cs="Arial"/>
          <w:color w:val="000000"/>
          <w:sz w:val="20"/>
        </w:rPr>
        <w:t>’</w:t>
      </w:r>
      <w:r>
        <w:rPr>
          <w:rFonts w:ascii="Arial" w:hAnsi="Arial" w:cs="Arial"/>
          <w:color w:val="000000"/>
          <w:sz w:val="20"/>
        </w:rPr>
        <w:t>s copyright policy can be found on the website -</w:t>
      </w:r>
    </w:p>
    <w:p w14:paraId="74ACAE0E" w14:textId="77777777" w:rsidR="00886045" w:rsidRDefault="00C950D7" w:rsidP="00886045">
      <w:pPr>
        <w:autoSpaceDE w:val="0"/>
        <w:autoSpaceDN w:val="0"/>
        <w:adjustRightInd w:val="0"/>
        <w:jc w:val="center"/>
        <w:rPr>
          <w:rFonts w:ascii="Arial" w:hAnsi="Arial" w:cs="Arial"/>
          <w:color w:val="000000"/>
          <w:sz w:val="20"/>
          <w:u w:val="single"/>
        </w:rPr>
      </w:pPr>
      <w:hyperlink r:id="rId17" w:history="1">
        <w:r w:rsidR="00315BDC">
          <w:rPr>
            <w:rStyle w:val="Hyperlink"/>
            <w:rFonts w:ascii="Arial" w:hAnsi="Arial" w:cs="Arial"/>
            <w:sz w:val="20"/>
          </w:rPr>
          <w:t>www.parliament.scot</w:t>
        </w:r>
      </w:hyperlink>
    </w:p>
    <w:p w14:paraId="1F9E3909" w14:textId="77777777" w:rsidR="00886045" w:rsidRDefault="00886045" w:rsidP="00886045">
      <w:pPr>
        <w:autoSpaceDE w:val="0"/>
        <w:autoSpaceDN w:val="0"/>
        <w:adjustRightInd w:val="0"/>
        <w:jc w:val="center"/>
        <w:rPr>
          <w:rFonts w:ascii="Arial" w:hAnsi="Arial" w:cs="Arial"/>
          <w:color w:val="000000"/>
          <w:sz w:val="20"/>
        </w:rPr>
      </w:pPr>
    </w:p>
    <w:p w14:paraId="13FEE21E" w14:textId="77777777" w:rsidR="00886045" w:rsidRDefault="00886045" w:rsidP="00886045">
      <w:pPr>
        <w:jc w:val="center"/>
        <w:rPr>
          <w:rFonts w:ascii="Arial" w:hAnsi="Arial" w:cs="Arial"/>
          <w:color w:val="000000"/>
          <w:sz w:val="20"/>
        </w:rPr>
      </w:pPr>
      <w:r>
        <w:rPr>
          <w:rFonts w:ascii="Arial" w:hAnsi="Arial" w:cs="Arial"/>
          <w:color w:val="000000"/>
          <w:sz w:val="20"/>
        </w:rPr>
        <w:t>Produced and published in Scotland by the Scottish Parliamentary Corporate Body.</w:t>
      </w:r>
    </w:p>
    <w:p w14:paraId="34355631" w14:textId="77777777" w:rsidR="00886045" w:rsidRDefault="00886045" w:rsidP="00886045">
      <w:pPr>
        <w:jc w:val="center"/>
        <w:rPr>
          <w:rFonts w:ascii="Arial" w:hAnsi="Arial" w:cs="Arial"/>
          <w:color w:val="000000"/>
          <w:sz w:val="20"/>
        </w:rPr>
      </w:pPr>
    </w:p>
    <w:p w14:paraId="7D385F9A" w14:textId="77777777" w:rsidR="00886045" w:rsidRDefault="00886045" w:rsidP="00886045">
      <w:pPr>
        <w:jc w:val="center"/>
        <w:rPr>
          <w:rFonts w:ascii="Arial" w:hAnsi="Arial" w:cs="Arial"/>
          <w:sz w:val="16"/>
          <w:szCs w:val="16"/>
        </w:rPr>
      </w:pPr>
      <w:r>
        <w:rPr>
          <w:rFonts w:ascii="Arial" w:hAnsi="Arial" w:cs="Arial"/>
          <w:color w:val="000000"/>
          <w:sz w:val="20"/>
        </w:rPr>
        <w:t>All documents are available on the Scottish Parliament website at:</w:t>
      </w:r>
      <w:r>
        <w:rPr>
          <w:rFonts w:ascii="Arial" w:hAnsi="Arial" w:cs="Arial"/>
          <w:sz w:val="16"/>
          <w:szCs w:val="16"/>
        </w:rPr>
        <w:t xml:space="preserve"> </w:t>
      </w:r>
    </w:p>
    <w:p w14:paraId="76B893EC" w14:textId="77777777" w:rsidR="00886045" w:rsidRDefault="00C950D7" w:rsidP="00886045">
      <w:pPr>
        <w:jc w:val="center"/>
        <w:rPr>
          <w:rFonts w:ascii="Arial" w:hAnsi="Arial"/>
          <w:color w:val="000000"/>
          <w:sz w:val="20"/>
        </w:rPr>
      </w:pPr>
      <w:hyperlink r:id="rId18" w:history="1">
        <w:r w:rsidR="00315BDC">
          <w:rPr>
            <w:rStyle w:val="Hyperlink"/>
            <w:rFonts w:ascii="Arial" w:hAnsi="Arial" w:cs="Arial"/>
            <w:sz w:val="20"/>
          </w:rPr>
          <w:t>www.parliament.scot/documents</w:t>
        </w:r>
      </w:hyperlink>
    </w:p>
    <w:p w14:paraId="220FC40A" w14:textId="77777777" w:rsidR="00886045" w:rsidRDefault="00886045" w:rsidP="00886045">
      <w:pPr>
        <w:jc w:val="center"/>
      </w:pPr>
    </w:p>
    <w:p w14:paraId="51E07E7C" w14:textId="77777777" w:rsidR="00886045" w:rsidRPr="00612A6D" w:rsidRDefault="00886045" w:rsidP="00886045">
      <w:pPr>
        <w:tabs>
          <w:tab w:val="clear" w:pos="709"/>
          <w:tab w:val="clear" w:pos="1418"/>
          <w:tab w:val="clear" w:pos="2126"/>
          <w:tab w:val="clear" w:pos="2835"/>
          <w:tab w:val="clear" w:pos="3544"/>
          <w:tab w:val="clear" w:pos="4253"/>
          <w:tab w:val="clear" w:pos="4961"/>
          <w:tab w:val="clear" w:pos="5670"/>
        </w:tabs>
        <w:jc w:val="center"/>
      </w:pPr>
    </w:p>
    <w:sectPr w:rsidR="00886045" w:rsidRPr="00612A6D" w:rsidSect="007264A5">
      <w:headerReference w:type="default" r:id="rId19"/>
      <w:footerReference w:type="default" r:id="rId20"/>
      <w:type w:val="oddPage"/>
      <w:pgSz w:w="11907" w:h="16840" w:code="9"/>
      <w:pgMar w:top="1418" w:right="1134" w:bottom="1418" w:left="1134" w:header="720" w:footer="720"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57D5" w14:textId="77777777" w:rsidR="005952CF" w:rsidRDefault="005952CF">
      <w:r>
        <w:separator/>
      </w:r>
    </w:p>
  </w:endnote>
  <w:endnote w:type="continuationSeparator" w:id="0">
    <w:p w14:paraId="4AE4C862" w14:textId="77777777" w:rsidR="005952CF" w:rsidRDefault="005952CF">
      <w:r>
        <w:continuationSeparator/>
      </w:r>
    </w:p>
  </w:endnote>
  <w:endnote w:type="continuationNotice" w:id="1">
    <w:p w14:paraId="767E7C13" w14:textId="77777777" w:rsidR="005952CF" w:rsidRDefault="00595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950B" w14:textId="77777777" w:rsidR="00886045" w:rsidRDefault="00886045" w:rsidP="005C191C">
    <w:pPr>
      <w:pStyle w:val="Footer"/>
      <w:jc w:val="center"/>
    </w:pPr>
    <w:r>
      <w:fldChar w:fldCharType="begin"/>
    </w:r>
    <w:r>
      <w:instrText xml:space="preserve"> PAGE   \* MERGEFORMAT </w:instrText>
    </w:r>
    <w:r>
      <w:fldChar w:fldCharType="separate"/>
    </w:r>
    <w:r w:rsidR="005B29E3">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14FC" w14:textId="6BF05516" w:rsidR="00886045" w:rsidRDefault="0BC33294" w:rsidP="004C595F">
    <w:pPr>
      <w:numPr>
        <w:ilvl w:val="0"/>
        <w:numId w:val="3"/>
      </w:numPr>
      <w:tabs>
        <w:tab w:val="clear" w:pos="709"/>
        <w:tab w:val="clear" w:pos="1418"/>
        <w:tab w:val="clear" w:pos="2126"/>
        <w:tab w:val="clear" w:pos="2835"/>
        <w:tab w:val="clear" w:pos="3544"/>
        <w:tab w:val="clear" w:pos="4253"/>
        <w:tab w:val="clear" w:pos="4961"/>
        <w:tab w:val="clear" w:pos="5670"/>
        <w:tab w:val="center" w:pos="4678"/>
        <w:tab w:val="right" w:pos="9356"/>
      </w:tabs>
      <w:jc w:val="left"/>
    </w:pPr>
    <w:r>
      <w:t xml:space="preserve">SP Bill </w:t>
    </w:r>
    <w:fldSimple w:instr="DOCPROPERTY &quot;Bill Number&quot;  \* MERGEFORMAT">
      <w:r w:rsidR="00357BEF">
        <w:t>&lt;Bill Number&gt;</w:t>
      </w:r>
    </w:fldSimple>
    <w:r>
      <w:t>–FM</w:t>
    </w:r>
    <w:r w:rsidR="5857B97D">
      <w:tab/>
    </w:r>
    <w:r w:rsidR="5857B97D" w:rsidRPr="0BC33294">
      <w:rPr>
        <w:rStyle w:val="PageNumber"/>
      </w:rPr>
      <w:fldChar w:fldCharType="begin"/>
    </w:r>
    <w:r w:rsidR="5857B97D" w:rsidRPr="0BC33294">
      <w:rPr>
        <w:rStyle w:val="PageNumber"/>
      </w:rPr>
      <w:instrText xml:space="preserve"> PAGE </w:instrText>
    </w:r>
    <w:r w:rsidR="5857B97D" w:rsidRPr="0BC33294">
      <w:rPr>
        <w:rStyle w:val="PageNumber"/>
      </w:rPr>
      <w:fldChar w:fldCharType="separate"/>
    </w:r>
    <w:r w:rsidRPr="0BC33294">
      <w:rPr>
        <w:rStyle w:val="PageNumber"/>
        <w:noProof/>
      </w:rPr>
      <w:t>1</w:t>
    </w:r>
    <w:r w:rsidR="5857B97D" w:rsidRPr="0BC33294">
      <w:rPr>
        <w:rStyle w:val="PageNumber"/>
      </w:rPr>
      <w:fldChar w:fldCharType="end"/>
    </w:r>
    <w:r w:rsidR="5857B97D">
      <w:tab/>
    </w:r>
    <w:r>
      <w:t>Session 6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CE75" w14:textId="4440CA08" w:rsidR="00F7649A" w:rsidRDefault="00EE17B6" w:rsidP="004C595F">
    <w:pPr>
      <w:numPr>
        <w:ilvl w:val="0"/>
        <w:numId w:val="3"/>
      </w:numPr>
      <w:tabs>
        <w:tab w:val="clear" w:pos="709"/>
        <w:tab w:val="clear" w:pos="1418"/>
        <w:tab w:val="clear" w:pos="2126"/>
        <w:tab w:val="clear" w:pos="2835"/>
        <w:tab w:val="clear" w:pos="3544"/>
        <w:tab w:val="clear" w:pos="4253"/>
        <w:tab w:val="clear" w:pos="4961"/>
        <w:tab w:val="clear" w:pos="5670"/>
        <w:tab w:val="center" w:pos="4678"/>
        <w:tab w:val="right" w:pos="9356"/>
      </w:tabs>
      <w:jc w:val="left"/>
    </w:pPr>
    <w:r>
      <w:t xml:space="preserve">SP Bill </w:t>
    </w:r>
    <w:fldSimple w:instr="DOCPROPERTY &quot;Bill Number&quot;  \* MERGEFORMAT">
      <w:r w:rsidR="00357BEF">
        <w:t>&lt;Bill Number&gt;</w:t>
      </w:r>
    </w:fldSimple>
    <w:r>
      <w:t>–FM</w:t>
    </w:r>
    <w:r>
      <w:tab/>
    </w:r>
    <w:r>
      <w:tab/>
      <w:t xml:space="preserve">Session </w:t>
    </w:r>
    <w:r w:rsidR="002C55FF">
      <w:t xml:space="preserve">6 </w:t>
    </w:r>
    <w:r>
      <w:t>(</w:t>
    </w:r>
    <w:r w:rsidR="002C55FF">
      <w:t>2024</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7C03" w14:textId="77777777" w:rsidR="005952CF" w:rsidRDefault="005952CF">
      <w:r>
        <w:separator/>
      </w:r>
    </w:p>
  </w:footnote>
  <w:footnote w:type="continuationSeparator" w:id="0">
    <w:p w14:paraId="5398E427" w14:textId="77777777" w:rsidR="005952CF" w:rsidRDefault="005952CF">
      <w:r>
        <w:continuationSeparator/>
      </w:r>
    </w:p>
  </w:footnote>
  <w:footnote w:type="continuationNotice" w:id="1">
    <w:p w14:paraId="576C0358" w14:textId="77777777" w:rsidR="005952CF" w:rsidRDefault="005952CF"/>
  </w:footnote>
  <w:footnote w:id="2">
    <w:p w14:paraId="39ABC3B9" w14:textId="77777777" w:rsidR="0037615D" w:rsidRDefault="0037615D" w:rsidP="0037615D">
      <w:pPr>
        <w:pStyle w:val="FootnoteText"/>
      </w:pPr>
      <w:r>
        <w:rPr>
          <w:rStyle w:val="FootnoteReference"/>
        </w:rPr>
        <w:footnoteRef/>
      </w:r>
      <w:r>
        <w:t xml:space="preserve"> </w:t>
      </w:r>
      <w:hyperlink r:id="rId1" w:history="1">
        <w:r>
          <w:rPr>
            <w:rStyle w:val="Hyperlink"/>
          </w:rPr>
          <w:t>Drug and alcohol services: An update (audit-scotland.gov.uk)</w:t>
        </w:r>
      </w:hyperlink>
    </w:p>
  </w:footnote>
  <w:footnote w:id="3">
    <w:p w14:paraId="113C07CA" w14:textId="294A3947" w:rsidR="004C2011" w:rsidRDefault="004C2011" w:rsidP="004C2011">
      <w:pPr>
        <w:pStyle w:val="FootnoteText"/>
      </w:pPr>
      <w:r>
        <w:rPr>
          <w:rStyle w:val="FootnoteReference"/>
        </w:rPr>
        <w:footnoteRef/>
      </w:r>
      <w:r>
        <w:t xml:space="preserve"> </w:t>
      </w:r>
      <w:r w:rsidR="00981B5D">
        <w:t xml:space="preserve">The National Mission on Drugs Annual Report 2022-2023. Available at: </w:t>
      </w:r>
      <w:hyperlink r:id="rId2" w:history="1">
        <w:r w:rsidR="00981B5D" w:rsidRPr="00981B5D">
          <w:rPr>
            <w:rStyle w:val="Hyperlink"/>
            <w:rFonts w:ascii="Segoe UI" w:hAnsi="Segoe UI" w:cs="Segoe UI"/>
            <w:sz w:val="18"/>
            <w:szCs w:val="18"/>
            <w:shd w:val="clear" w:color="auto" w:fill="FFFFFF"/>
          </w:rPr>
          <w:t>https://www.gov.scot/publications/national-mission-drugs-annual-report-2022-23/</w:t>
        </w:r>
      </w:hyperlink>
    </w:p>
  </w:footnote>
  <w:footnote w:id="4">
    <w:p w14:paraId="0A60DA0F" w14:textId="307472AE" w:rsidR="00EA14C2" w:rsidRDefault="00EA14C2">
      <w:pPr>
        <w:pStyle w:val="FootnoteText"/>
      </w:pPr>
      <w:r>
        <w:rPr>
          <w:rStyle w:val="FootnoteReference"/>
        </w:rPr>
        <w:footnoteRef/>
      </w:r>
      <w:r>
        <w:t xml:space="preserve"> These different funding streams are set out in detail on page 44 of the National Mission on Drugs Annual Report 2022-23.</w:t>
      </w:r>
      <w:r w:rsidR="00981B5D">
        <w:t xml:space="preserve"> </w:t>
      </w:r>
      <w:r>
        <w:t xml:space="preserve">Available at: </w:t>
      </w:r>
      <w:hyperlink r:id="rId3" w:history="1">
        <w:r w:rsidRPr="00D346B0">
          <w:rPr>
            <w:rStyle w:val="Hyperlink"/>
          </w:rPr>
          <w:t>https://www.gov.scot/binaries/content/documents/govscot/publications/progress-report/2023/10/national-mission-drugs-annual-report-2022-23/documents/national-mission-drugs-annual-report-2022-2023/national-mission-drugs-annual-report-2022-2023/govscot%3Adocument/national-mission-drugs-annual-report-2022-2023.pdf</w:t>
        </w:r>
      </w:hyperlink>
      <w:r>
        <w:t xml:space="preserve"> </w:t>
      </w:r>
    </w:p>
  </w:footnote>
  <w:footnote w:id="5">
    <w:p w14:paraId="688A7A20" w14:textId="18F304DC" w:rsidR="51B3EEBA" w:rsidRDefault="51B3EEBA" w:rsidP="51B3EEBA">
      <w:pPr>
        <w:pStyle w:val="FootnoteText"/>
      </w:pPr>
      <w:r w:rsidRPr="51B3EEBA">
        <w:rPr>
          <w:rStyle w:val="FootnoteReference"/>
        </w:rPr>
        <w:footnoteRef/>
      </w:r>
      <w:r>
        <w:t xml:space="preserve"> The remaining 3% of budget is allocated to core funded organisations. Further detail on these organisations </w:t>
      </w:r>
      <w:proofErr w:type="gramStart"/>
      <w:r>
        <w:t>are</w:t>
      </w:r>
      <w:proofErr w:type="gramEnd"/>
      <w:r>
        <w:t xml:space="preserve"> provided in the </w:t>
      </w:r>
      <w:hyperlink r:id="rId4">
        <w:r w:rsidRPr="51B3EEBA">
          <w:rPr>
            <w:rStyle w:val="Hyperlink"/>
          </w:rPr>
          <w:t>Annual Report on p.7</w:t>
        </w:r>
      </w:hyperlink>
    </w:p>
  </w:footnote>
  <w:footnote w:id="6">
    <w:p w14:paraId="6225454D" w14:textId="77777777" w:rsidR="00D16EA5" w:rsidRDefault="00D16EA5" w:rsidP="00D16EA5">
      <w:pPr>
        <w:pStyle w:val="FootnoteText"/>
      </w:pPr>
      <w:r>
        <w:rPr>
          <w:rStyle w:val="FootnoteReference"/>
        </w:rPr>
        <w:footnoteRef/>
      </w:r>
      <w:r>
        <w:t xml:space="preserve"> </w:t>
      </w:r>
      <w:hyperlink r:id="rId5" w:history="1">
        <w:r>
          <w:rPr>
            <w:rStyle w:val="Hyperlink"/>
          </w:rPr>
          <w:t>Chapter 4 Health &amp; Social Care - Scottish Budget: 2023 to 2024 - gov.scot (www.gov.scot)</w:t>
        </w:r>
      </w:hyperlink>
    </w:p>
  </w:footnote>
  <w:footnote w:id="7">
    <w:p w14:paraId="6D39BCD7" w14:textId="77777777" w:rsidR="004C2011" w:rsidRDefault="004C2011" w:rsidP="004C2011">
      <w:pPr>
        <w:pStyle w:val="FootnoteText"/>
      </w:pPr>
      <w:r>
        <w:rPr>
          <w:rStyle w:val="FootnoteReference"/>
        </w:rPr>
        <w:footnoteRef/>
      </w:r>
      <w:r>
        <w:t xml:space="preserve"> </w:t>
      </w:r>
      <w:hyperlink r:id="rId6" w:history="1">
        <w:r>
          <w:rPr>
            <w:rStyle w:val="Hyperlink"/>
          </w:rPr>
          <w:t>Chapter 1 Strategic Context: A Stronger &amp; More Resilient Scotland - Scottish Budget: 2023 to 2024 - gov.scot (www.gov.scot)</w:t>
        </w:r>
      </w:hyperlink>
    </w:p>
  </w:footnote>
  <w:footnote w:id="8">
    <w:p w14:paraId="43FEB659" w14:textId="29B89B61" w:rsidR="007C54DA" w:rsidRDefault="007C54DA">
      <w:pPr>
        <w:pStyle w:val="FootnoteText"/>
      </w:pPr>
      <w:r>
        <w:rPr>
          <w:rStyle w:val="FootnoteReference"/>
        </w:rPr>
        <w:footnoteRef/>
      </w:r>
      <w:r>
        <w:t xml:space="preserve"> </w:t>
      </w:r>
      <w:hyperlink r:id="rId7" w:anchor="133439" w:history="1">
        <w:r>
          <w:rPr>
            <w:rStyle w:val="Hyperlink"/>
          </w:rPr>
          <w:t>Meeting of the Parliament: 11/01/2024 | Scottish Parliament Website</w:t>
        </w:r>
      </w:hyperlink>
    </w:p>
  </w:footnote>
  <w:footnote w:id="9">
    <w:p w14:paraId="00FFA07D" w14:textId="77777777" w:rsidR="00970CA0" w:rsidRDefault="00970CA0" w:rsidP="00970CA0">
      <w:pPr>
        <w:pStyle w:val="FootnoteText"/>
      </w:pPr>
      <w:r>
        <w:rPr>
          <w:rStyle w:val="FootnoteReference"/>
        </w:rPr>
        <w:footnoteRef/>
      </w:r>
      <w:r>
        <w:t xml:space="preserve"> </w:t>
      </w:r>
      <w:hyperlink r:id="rId8" w:history="1">
        <w:r>
          <w:rPr>
            <w:rStyle w:val="Hyperlink"/>
          </w:rPr>
          <w:t>Population breakdown and care provision - Office for National Statistics (ons.gov.uk)</w:t>
        </w:r>
      </w:hyperlink>
    </w:p>
  </w:footnote>
  <w:footnote w:id="10">
    <w:p w14:paraId="69BC8D03" w14:textId="77777777" w:rsidR="00970CA0" w:rsidRDefault="00970CA0" w:rsidP="00970CA0">
      <w:pPr>
        <w:pStyle w:val="FootnoteText"/>
      </w:pPr>
      <w:r>
        <w:rPr>
          <w:rStyle w:val="FootnoteReference"/>
        </w:rPr>
        <w:footnoteRef/>
      </w:r>
      <w:r>
        <w:t xml:space="preserve"> </w:t>
      </w:r>
      <w:hyperlink r:id="rId9" w:anchor=":~:text=The%20data%20also%20highlights%20Scotland%27s,increased%20by%2022.5%25%20since%202011." w:history="1">
        <w:r>
          <w:rPr>
            <w:rStyle w:val="Hyperlink"/>
          </w:rPr>
          <w:t>Scotland’s Census first results | National Records of Scotland (nrscotland.gov.uk)</w:t>
        </w:r>
      </w:hyperlink>
    </w:p>
  </w:footnote>
  <w:footnote w:id="11">
    <w:p w14:paraId="0A823FE6" w14:textId="3847BDE6" w:rsidR="00952F2B" w:rsidRDefault="00952F2B" w:rsidP="00952F2B">
      <w:pPr>
        <w:pStyle w:val="FootnoteText"/>
      </w:pPr>
      <w:r>
        <w:rPr>
          <w:rStyle w:val="FootnoteReference"/>
        </w:rPr>
        <w:footnoteRef/>
      </w:r>
      <w:r>
        <w:t xml:space="preserve"> </w:t>
      </w:r>
      <w:hyperlink r:id="rId10" w:history="1">
        <w:r w:rsidR="008668F8">
          <w:rPr>
            <w:rStyle w:val="Hyperlink"/>
          </w:rPr>
          <w:t>3. The challenge we face - National Drugs Mission Plan: 2022-2026 - gov.scot (www.gov.scot)</w:t>
        </w:r>
      </w:hyperlink>
    </w:p>
  </w:footnote>
  <w:footnote w:id="12">
    <w:p w14:paraId="41DA09FC" w14:textId="77777777" w:rsidR="00952F2B" w:rsidRDefault="00952F2B" w:rsidP="00952F2B">
      <w:pPr>
        <w:pStyle w:val="FootnoteText"/>
      </w:pPr>
      <w:r>
        <w:rPr>
          <w:rStyle w:val="FootnoteReference"/>
        </w:rPr>
        <w:footnoteRef/>
      </w:r>
      <w:r>
        <w:t xml:space="preserve"> </w:t>
      </w:r>
      <w:hyperlink r:id="rId11" w:anchor=":~:text=The%20estimated%20number%20of%20individuals,aged%20between%2015%20and%2064." w:history="1">
        <w:r>
          <w:rPr>
            <w:rStyle w:val="Hyperlink"/>
          </w:rPr>
          <w:t>Drugs overview - Drugs - Health topics - Public Health Scotland</w:t>
        </w:r>
      </w:hyperlink>
    </w:p>
  </w:footnote>
  <w:footnote w:id="13">
    <w:p w14:paraId="79EF7279" w14:textId="77777777" w:rsidR="00A019EC" w:rsidRDefault="00A019EC" w:rsidP="00A019EC">
      <w:pPr>
        <w:pStyle w:val="FootnoteText"/>
      </w:pPr>
      <w:r>
        <w:rPr>
          <w:rStyle w:val="FootnoteReference"/>
        </w:rPr>
        <w:footnoteRef/>
      </w:r>
      <w:r>
        <w:t xml:space="preserve"> </w:t>
      </w:r>
      <w:hyperlink r:id="rId12" w:history="1">
        <w:r>
          <w:rPr>
            <w:rStyle w:val="Hyperlink"/>
          </w:rPr>
          <w:t xml:space="preserve">Treatment for drug use - </w:t>
        </w:r>
        <w:proofErr w:type="spellStart"/>
        <w:r>
          <w:rPr>
            <w:rStyle w:val="Hyperlink"/>
          </w:rPr>
          <w:t>ScotPHO</w:t>
        </w:r>
        <w:proofErr w:type="spellEnd"/>
      </w:hyperlink>
    </w:p>
  </w:footnote>
  <w:footnote w:id="14">
    <w:p w14:paraId="6AFAA3C3" w14:textId="7672E97C" w:rsidR="00A019EC" w:rsidRDefault="00A019EC">
      <w:pPr>
        <w:pStyle w:val="FootnoteText"/>
      </w:pPr>
      <w:r>
        <w:rPr>
          <w:rStyle w:val="FootnoteReference"/>
        </w:rPr>
        <w:footnoteRef/>
      </w:r>
      <w:r>
        <w:t xml:space="preserve"> </w:t>
      </w:r>
      <w:hyperlink r:id="rId13" w:history="1">
        <w:r>
          <w:rPr>
            <w:rStyle w:val="Hyperlink"/>
          </w:rPr>
          <w:t>Drug and alcohol information system (</w:t>
        </w:r>
        <w:proofErr w:type="spellStart"/>
        <w:r>
          <w:rPr>
            <w:rStyle w:val="Hyperlink"/>
          </w:rPr>
          <w:t>DAISy</w:t>
        </w:r>
        <w:proofErr w:type="spellEnd"/>
        <w:r>
          <w:rPr>
            <w:rStyle w:val="Hyperlink"/>
          </w:rPr>
          <w:t>) overview of initial assessments for specialist drug and alcohol treatment 2021/22 and 2022/23 - Drug and alcohol information system (</w:t>
        </w:r>
        <w:proofErr w:type="spellStart"/>
        <w:r>
          <w:rPr>
            <w:rStyle w:val="Hyperlink"/>
          </w:rPr>
          <w:t>DAISy</w:t>
        </w:r>
        <w:proofErr w:type="spellEnd"/>
        <w:r>
          <w:rPr>
            <w:rStyle w:val="Hyperlink"/>
          </w:rPr>
          <w:t>) - Publications - Public Health Scotland</w:t>
        </w:r>
      </w:hyperlink>
    </w:p>
  </w:footnote>
  <w:footnote w:id="15">
    <w:p w14:paraId="6C2CCCD8" w14:textId="67FD3A1A" w:rsidR="00A019EC" w:rsidRDefault="00A019EC">
      <w:pPr>
        <w:pStyle w:val="FootnoteText"/>
      </w:pPr>
      <w:r>
        <w:rPr>
          <w:rStyle w:val="FootnoteReference"/>
        </w:rPr>
        <w:footnoteRef/>
      </w:r>
      <w:r>
        <w:t xml:space="preserve"> </w:t>
      </w:r>
      <w:hyperlink r:id="rId14" w:history="1">
        <w:r w:rsidRPr="00FE441E">
          <w:rPr>
            <w:rStyle w:val="Hyperlink"/>
          </w:rPr>
          <w:t>https://publichealthscotland.scot/media/20299/2023-06-27-daisy-treatment-tables.xlsx</w:t>
        </w:r>
      </w:hyperlink>
      <w:r>
        <w:t xml:space="preserve"> </w:t>
      </w:r>
    </w:p>
  </w:footnote>
  <w:footnote w:id="16">
    <w:p w14:paraId="16D87063" w14:textId="0C71D7A0" w:rsidR="008E5330" w:rsidRDefault="008E5330">
      <w:pPr>
        <w:pStyle w:val="FootnoteText"/>
      </w:pPr>
      <w:r>
        <w:rPr>
          <w:rStyle w:val="FootnoteReference"/>
        </w:rPr>
        <w:footnoteRef/>
      </w:r>
      <w:r>
        <w:t xml:space="preserve"> </w:t>
      </w:r>
      <w:hyperlink r:id="rId15" w:history="1">
        <w:r>
          <w:rPr>
            <w:rStyle w:val="Hyperlink"/>
          </w:rPr>
          <w:t>Drug and alcohol information system (</w:t>
        </w:r>
        <w:proofErr w:type="spellStart"/>
        <w:r>
          <w:rPr>
            <w:rStyle w:val="Hyperlink"/>
          </w:rPr>
          <w:t>DAISy</w:t>
        </w:r>
        <w:proofErr w:type="spellEnd"/>
        <w:r>
          <w:rPr>
            <w:rStyle w:val="Hyperlink"/>
          </w:rPr>
          <w:t>) overview of initial assessments for specialist drug and alcohol treatment 2021/22 and 2022/23 - Drug and alcohol information system (</w:t>
        </w:r>
        <w:proofErr w:type="spellStart"/>
        <w:r>
          <w:rPr>
            <w:rStyle w:val="Hyperlink"/>
          </w:rPr>
          <w:t>DAISy</w:t>
        </w:r>
        <w:proofErr w:type="spellEnd"/>
        <w:r>
          <w:rPr>
            <w:rStyle w:val="Hyperlink"/>
          </w:rPr>
          <w:t>) - Publications - Public Health Scotland</w:t>
        </w:r>
      </w:hyperlink>
    </w:p>
  </w:footnote>
  <w:footnote w:id="17">
    <w:p w14:paraId="232C258D" w14:textId="77777777" w:rsidR="00A019EC" w:rsidRDefault="00A019EC" w:rsidP="00A019EC">
      <w:pPr>
        <w:pStyle w:val="FootnoteText"/>
      </w:pPr>
      <w:r>
        <w:rPr>
          <w:rStyle w:val="FootnoteReference"/>
        </w:rPr>
        <w:footnoteRef/>
      </w:r>
      <w:r>
        <w:t xml:space="preserve"> </w:t>
      </w:r>
      <w:hyperlink r:id="rId16" w:anchor=":~:text=Provides%20an%20analysis%20of%20the,affected%20by%20drugs%20in%20Scotland." w:history="1">
        <w:r>
          <w:rPr>
            <w:rStyle w:val="Hyperlink"/>
          </w:rPr>
          <w:t>National Mission on Drugs: annual monitoring report 2022-2023 - gov.scot (www.gov.scot)</w:t>
        </w:r>
      </w:hyperlink>
    </w:p>
  </w:footnote>
  <w:footnote w:id="18">
    <w:p w14:paraId="4AF75CA7" w14:textId="2AFFBB95" w:rsidR="00A118E9" w:rsidRDefault="00A118E9">
      <w:pPr>
        <w:pStyle w:val="FootnoteText"/>
      </w:pPr>
      <w:r>
        <w:rPr>
          <w:rStyle w:val="FootnoteReference"/>
        </w:rPr>
        <w:footnoteRef/>
      </w:r>
      <w:r>
        <w:t xml:space="preserve"> </w:t>
      </w:r>
      <w:hyperlink r:id="rId17" w:history="1">
        <w:r>
          <w:rPr>
            <w:rStyle w:val="Hyperlink"/>
          </w:rPr>
          <w:t>Meeting of the Parliament: 08/02/2024 | Scottish Parliament Website</w:t>
        </w:r>
      </w:hyperlink>
    </w:p>
  </w:footnote>
  <w:footnote w:id="19">
    <w:p w14:paraId="5D6B5234" w14:textId="1AA9626E" w:rsidR="00D46EC3" w:rsidRDefault="00D46EC3" w:rsidP="00D46EC3">
      <w:pPr>
        <w:pStyle w:val="FootnoteText"/>
      </w:pPr>
      <w:r w:rsidRPr="00413B5E">
        <w:rPr>
          <w:rStyle w:val="FootnoteReference"/>
        </w:rPr>
        <w:footnoteRef/>
      </w:r>
      <w:r w:rsidRPr="00413B5E">
        <w:t xml:space="preserve"> </w:t>
      </w:r>
      <w:hyperlink r:id="rId18" w:anchor=":~:text=Provides%20an%20analysis%20of%20the,affected%20by%20drugs%20in%20Scotland." w:history="1">
        <w:r w:rsidRPr="00413B5E">
          <w:rPr>
            <w:rStyle w:val="Hyperlink"/>
          </w:rPr>
          <w:t>National Mission on Drugs: annual monitoring report 2022-2023 - gov.scot (www.gov.scot)</w:t>
        </w:r>
      </w:hyperlink>
    </w:p>
  </w:footnote>
  <w:footnote w:id="20">
    <w:p w14:paraId="3FB3C5FD" w14:textId="77777777" w:rsidR="007F163F" w:rsidRDefault="007F163F" w:rsidP="007F163F">
      <w:pPr>
        <w:pStyle w:val="FootnoteText"/>
      </w:pPr>
      <w:r>
        <w:rPr>
          <w:rStyle w:val="FootnoteReference"/>
        </w:rPr>
        <w:footnoteRef/>
      </w:r>
      <w:r>
        <w:t xml:space="preserve"> </w:t>
      </w:r>
      <w:hyperlink r:id="rId19" w:history="1">
        <w:r>
          <w:rPr>
            <w:rStyle w:val="Hyperlink"/>
          </w:rPr>
          <w:t>Drug related deaths decrease | National Records of Scotland (nrscotland.gov.uk)</w:t>
        </w:r>
      </w:hyperlink>
    </w:p>
  </w:footnote>
  <w:footnote w:id="21">
    <w:p w14:paraId="6EBF54E6" w14:textId="77777777" w:rsidR="007F163F" w:rsidRDefault="007F163F" w:rsidP="007F163F">
      <w:pPr>
        <w:pStyle w:val="FootnoteText"/>
      </w:pPr>
      <w:r>
        <w:rPr>
          <w:rStyle w:val="FootnoteReference"/>
        </w:rPr>
        <w:footnoteRef/>
      </w:r>
      <w:r>
        <w:t xml:space="preserve"> </w:t>
      </w:r>
      <w:hyperlink r:id="rId20" w:anchor=":~:text=Provides%20an%20analysis%20of%20the,affected%20by%20drugs%20in%20Scotland." w:history="1">
        <w:r>
          <w:rPr>
            <w:rStyle w:val="Hyperlink"/>
          </w:rPr>
          <w:t>National Mission on Drugs: annual monitoring report 2022-2023 - gov.scot (www.gov.scot)</w:t>
        </w:r>
      </w:hyperlink>
    </w:p>
  </w:footnote>
  <w:footnote w:id="22">
    <w:p w14:paraId="3D28DB2A" w14:textId="77777777" w:rsidR="007F163F" w:rsidRDefault="007F163F" w:rsidP="007F163F">
      <w:pPr>
        <w:pStyle w:val="FootnoteText"/>
      </w:pPr>
      <w:r>
        <w:rPr>
          <w:rStyle w:val="FootnoteReference"/>
        </w:rPr>
        <w:footnoteRef/>
      </w:r>
      <w:r>
        <w:t xml:space="preserve"> </w:t>
      </w:r>
      <w:hyperlink r:id="rId21" w:history="1">
        <w:r>
          <w:rPr>
            <w:rStyle w:val="Hyperlink"/>
          </w:rPr>
          <w:t>3. Main points - Suspected drug deaths in Scotland: October to December 2023 - gov.scot (www.gov.scot)</w:t>
        </w:r>
      </w:hyperlink>
    </w:p>
  </w:footnote>
  <w:footnote w:id="23">
    <w:p w14:paraId="6383230F" w14:textId="77777777" w:rsidR="00952F2B" w:rsidRDefault="00952F2B" w:rsidP="00952F2B">
      <w:pPr>
        <w:pStyle w:val="FootnoteText"/>
      </w:pPr>
      <w:r>
        <w:rPr>
          <w:rStyle w:val="FootnoteReference"/>
        </w:rPr>
        <w:footnoteRef/>
      </w:r>
      <w:r>
        <w:t xml:space="preserve"> </w:t>
      </w:r>
      <w:hyperlink r:id="rId22" w:history="1">
        <w:r>
          <w:rPr>
            <w:rStyle w:val="Hyperlink"/>
          </w:rPr>
          <w:t>The Scottish Health Survey 2022 – volume 1: main report - gov.scot (www.gov.scot)</w:t>
        </w:r>
      </w:hyperlink>
    </w:p>
  </w:footnote>
  <w:footnote w:id="24">
    <w:p w14:paraId="38E4D6CF" w14:textId="77777777" w:rsidR="00952F2B" w:rsidRDefault="00952F2B" w:rsidP="00952F2B">
      <w:pPr>
        <w:pStyle w:val="FootnoteText"/>
      </w:pPr>
      <w:r>
        <w:rPr>
          <w:rStyle w:val="FootnoteReference"/>
        </w:rPr>
        <w:footnoteRef/>
      </w:r>
      <w:r>
        <w:t xml:space="preserve"> </w:t>
      </w:r>
      <w:hyperlink r:id="rId23" w:history="1">
        <w:r>
          <w:rPr>
            <w:rStyle w:val="Hyperlink"/>
          </w:rPr>
          <w:t>The Scottish Health Survey 2021 - volume 1: main report - gov.scot (www.gov.scot)</w:t>
        </w:r>
      </w:hyperlink>
    </w:p>
  </w:footnote>
  <w:footnote w:id="25">
    <w:p w14:paraId="3E118D4E" w14:textId="77777777" w:rsidR="00952F2B" w:rsidRDefault="00952F2B" w:rsidP="00952F2B">
      <w:pPr>
        <w:pStyle w:val="FootnoteText"/>
      </w:pPr>
      <w:r>
        <w:rPr>
          <w:rStyle w:val="FootnoteReference"/>
        </w:rPr>
        <w:footnoteRef/>
      </w:r>
      <w:r>
        <w:t xml:space="preserve"> </w:t>
      </w:r>
      <w:hyperlink r:id="rId24" w:history="1">
        <w:r>
          <w:rPr>
            <w:rStyle w:val="Hyperlink"/>
          </w:rPr>
          <w:t>The Scottish Health Survey 2022 – volume 1: main report - gov.scot (www.gov.scot)</w:t>
        </w:r>
      </w:hyperlink>
    </w:p>
  </w:footnote>
  <w:footnote w:id="26">
    <w:p w14:paraId="38681C8D" w14:textId="484762A7" w:rsidR="00A118E9" w:rsidRDefault="00A118E9">
      <w:pPr>
        <w:pStyle w:val="FootnoteText"/>
      </w:pPr>
      <w:r>
        <w:rPr>
          <w:rStyle w:val="FootnoteReference"/>
        </w:rPr>
        <w:footnoteRef/>
      </w:r>
      <w:hyperlink r:id="rId25" w:history="1">
        <w:r>
          <w:rPr>
            <w:rStyle w:val="Hyperlink"/>
          </w:rPr>
          <w:t>Alcohol dependence | Drinkaware</w:t>
        </w:r>
      </w:hyperlink>
    </w:p>
  </w:footnote>
  <w:footnote w:id="27">
    <w:p w14:paraId="2064CA9A" w14:textId="37FB8C6F" w:rsidR="00460D58" w:rsidRDefault="00460D58">
      <w:pPr>
        <w:pStyle w:val="FootnoteText"/>
      </w:pPr>
      <w:r>
        <w:rPr>
          <w:rStyle w:val="FootnoteReference"/>
        </w:rPr>
        <w:footnoteRef/>
      </w:r>
      <w:hyperlink r:id="rId26" w:history="1">
        <w:r>
          <w:rPr>
            <w:rStyle w:val="Hyperlink"/>
          </w:rPr>
          <w:t>Drug and alcohol information system (</w:t>
        </w:r>
        <w:proofErr w:type="spellStart"/>
        <w:r>
          <w:rPr>
            <w:rStyle w:val="Hyperlink"/>
          </w:rPr>
          <w:t>DAISy</w:t>
        </w:r>
        <w:proofErr w:type="spellEnd"/>
        <w:r>
          <w:rPr>
            <w:rStyle w:val="Hyperlink"/>
          </w:rPr>
          <w:t>) overview of initial assessments for specialist drug and alcohol treatment 2021/22 and 2022/23 - Drug and alcohol information system (</w:t>
        </w:r>
        <w:proofErr w:type="spellStart"/>
        <w:r>
          <w:rPr>
            <w:rStyle w:val="Hyperlink"/>
          </w:rPr>
          <w:t>DAISy</w:t>
        </w:r>
        <w:proofErr w:type="spellEnd"/>
        <w:r>
          <w:rPr>
            <w:rStyle w:val="Hyperlink"/>
          </w:rPr>
          <w:t>) - Publications - Public Health Scotland</w:t>
        </w:r>
      </w:hyperlink>
    </w:p>
  </w:footnote>
  <w:footnote w:id="28">
    <w:p w14:paraId="6DE317A4" w14:textId="6DAD9A0B" w:rsidR="009D7FEE" w:rsidRDefault="009D7FEE" w:rsidP="009D7FEE">
      <w:pPr>
        <w:pStyle w:val="FootnoteText"/>
      </w:pPr>
      <w:r>
        <w:rPr>
          <w:rStyle w:val="FootnoteReference"/>
        </w:rPr>
        <w:footnoteRef/>
      </w:r>
      <w:hyperlink r:id="rId27" w:anchor=":~:text=21%2C840%20Scottish%20residents%20had%20at,to%20365%20per%20100%2C000%20population)." w:history="1">
        <w:r>
          <w:rPr>
            <w:rStyle w:val="Hyperlink"/>
          </w:rPr>
          <w:t>Alcohol facts and figures | Alcohol Focus Scotland (alcohol-focus-scotland.org.uk)</w:t>
        </w:r>
      </w:hyperlink>
    </w:p>
  </w:footnote>
  <w:footnote w:id="29">
    <w:p w14:paraId="3C0ED5D4" w14:textId="7118CD01" w:rsidR="009D7FEE" w:rsidRDefault="009D7FEE" w:rsidP="009D7FEE">
      <w:pPr>
        <w:pStyle w:val="FootnoteText"/>
      </w:pPr>
      <w:r>
        <w:rPr>
          <w:rStyle w:val="FootnoteReference"/>
        </w:rPr>
        <w:footnoteRef/>
      </w:r>
      <w:hyperlink r:id="rId28" w:anchor=":~:text=21%2C840%20Scottish%20residents%20had%20at,to%20365%20per%20100%2C000%20population)." w:history="1">
        <w:r>
          <w:rPr>
            <w:rStyle w:val="Hyperlink"/>
          </w:rPr>
          <w:t>Alcohol facts and figures | Alcohol Focus Scotland (alcohol-focus-scotland.org.uk)</w:t>
        </w:r>
      </w:hyperlink>
    </w:p>
  </w:footnote>
  <w:footnote w:id="30">
    <w:p w14:paraId="202E0B8C" w14:textId="2C2B81B5" w:rsidR="009D7FEE" w:rsidRDefault="009D7FEE" w:rsidP="009D7FEE">
      <w:pPr>
        <w:pStyle w:val="FootnoteText"/>
      </w:pPr>
      <w:r>
        <w:rPr>
          <w:rStyle w:val="FootnoteReference"/>
        </w:rPr>
        <w:footnoteRef/>
      </w:r>
      <w:hyperlink r:id="rId29" w:anchor=":~:text=21%2C840%20Scottish%20residents%20had%20at,to%20365%20per%20100%2C000%20population)." w:history="1">
        <w:r>
          <w:rPr>
            <w:rStyle w:val="Hyperlink"/>
          </w:rPr>
          <w:t>Alcohol facts and figures | Alcohol Focus Scotland (alcohol-focus-scotland.org.uk)</w:t>
        </w:r>
      </w:hyperlink>
    </w:p>
  </w:footnote>
  <w:footnote w:id="31">
    <w:p w14:paraId="02280183" w14:textId="77777777" w:rsidR="004A7FE1" w:rsidRDefault="004A7FE1" w:rsidP="004A7FE1">
      <w:pPr>
        <w:pStyle w:val="FootnoteText"/>
      </w:pPr>
      <w:r>
        <w:rPr>
          <w:rStyle w:val="FootnoteReference"/>
        </w:rPr>
        <w:footnoteRef/>
      </w:r>
      <w:r>
        <w:t xml:space="preserve"> </w:t>
      </w:r>
      <w:hyperlink r:id="rId30" w:history="1">
        <w:r>
          <w:rPr>
            <w:rStyle w:val="Hyperlink"/>
          </w:rPr>
          <w:t>Drug and alcohol information system (</w:t>
        </w:r>
        <w:proofErr w:type="spellStart"/>
        <w:r>
          <w:rPr>
            <w:rStyle w:val="Hyperlink"/>
          </w:rPr>
          <w:t>DAISy</w:t>
        </w:r>
        <w:proofErr w:type="spellEnd"/>
        <w:r>
          <w:rPr>
            <w:rStyle w:val="Hyperlink"/>
          </w:rPr>
          <w:t>) overview of initial assessments for specialist drug and alcohol treatment 2021/22 and 2022/23 - Drug and alcohol information system (</w:t>
        </w:r>
        <w:proofErr w:type="spellStart"/>
        <w:r>
          <w:rPr>
            <w:rStyle w:val="Hyperlink"/>
          </w:rPr>
          <w:t>DAISy</w:t>
        </w:r>
        <w:proofErr w:type="spellEnd"/>
        <w:r>
          <w:rPr>
            <w:rStyle w:val="Hyperlink"/>
          </w:rPr>
          <w:t>) - Publications - Public Health Scotland</w:t>
        </w:r>
      </w:hyperlink>
    </w:p>
  </w:footnote>
  <w:footnote w:id="32">
    <w:p w14:paraId="5006CE64" w14:textId="75A082D2" w:rsidR="008E5330" w:rsidRDefault="008E5330">
      <w:pPr>
        <w:pStyle w:val="FootnoteText"/>
      </w:pPr>
      <w:r>
        <w:rPr>
          <w:rStyle w:val="FootnoteReference"/>
        </w:rPr>
        <w:footnoteRef/>
      </w:r>
      <w:hyperlink r:id="rId31" w:history="1">
        <w:r>
          <w:rPr>
            <w:rStyle w:val="Hyperlink"/>
          </w:rPr>
          <w:t>Drug and alcohol information system (</w:t>
        </w:r>
        <w:proofErr w:type="spellStart"/>
        <w:r>
          <w:rPr>
            <w:rStyle w:val="Hyperlink"/>
          </w:rPr>
          <w:t>DAISy</w:t>
        </w:r>
        <w:proofErr w:type="spellEnd"/>
        <w:r>
          <w:rPr>
            <w:rStyle w:val="Hyperlink"/>
          </w:rPr>
          <w:t>) overview of initial assessments for specialist drug and alcohol treatment 2021/22 and 2022/23 - Drug and alcohol information system (</w:t>
        </w:r>
        <w:proofErr w:type="spellStart"/>
        <w:r>
          <w:rPr>
            <w:rStyle w:val="Hyperlink"/>
          </w:rPr>
          <w:t>DAISy</w:t>
        </w:r>
        <w:proofErr w:type="spellEnd"/>
        <w:r>
          <w:rPr>
            <w:rStyle w:val="Hyperlink"/>
          </w:rPr>
          <w:t>) - Publications - Public Health Scotland</w:t>
        </w:r>
      </w:hyperlink>
    </w:p>
  </w:footnote>
  <w:footnote w:id="33">
    <w:p w14:paraId="7EB4C041" w14:textId="2AD0D155" w:rsidR="003D254E" w:rsidRDefault="003D254E">
      <w:pPr>
        <w:pStyle w:val="FootnoteText"/>
      </w:pPr>
      <w:r>
        <w:rPr>
          <w:rStyle w:val="FootnoteReference"/>
        </w:rPr>
        <w:footnoteRef/>
      </w:r>
      <w:r>
        <w:t xml:space="preserve"> </w:t>
      </w:r>
      <w:hyperlink r:id="rId32" w:history="1">
        <w:r w:rsidR="00BA2C59" w:rsidRPr="00DF3D7B">
          <w:rPr>
            <w:rStyle w:val="Hyperlink"/>
          </w:rPr>
          <w:t>https://publichealthscotland.scot/media/24445/report-q2-2023-24-drug-alcohol-waiting-times.pdf</w:t>
        </w:r>
      </w:hyperlink>
      <w:r w:rsidR="00BA2C59">
        <w:t xml:space="preserve"> </w:t>
      </w:r>
    </w:p>
  </w:footnote>
  <w:footnote w:id="34">
    <w:p w14:paraId="51AC0805" w14:textId="1A798FEC" w:rsidR="003D254E" w:rsidRDefault="003D254E">
      <w:pPr>
        <w:pStyle w:val="FootnoteText"/>
      </w:pPr>
      <w:r>
        <w:rPr>
          <w:rStyle w:val="FootnoteReference"/>
        </w:rPr>
        <w:footnoteRef/>
      </w:r>
      <w:r>
        <w:t xml:space="preserve"> </w:t>
      </w:r>
      <w:hyperlink r:id="rId33" w:history="1">
        <w:r w:rsidRPr="005347AE">
          <w:rPr>
            <w:rStyle w:val="Hyperlink"/>
          </w:rPr>
          <w:t>https://publichealthscotland.scot/media/26199/report-q3-2023-24-drug-alcohol-waiting-times.pdf</w:t>
        </w:r>
      </w:hyperlink>
      <w:r>
        <w:t xml:space="preserve"> Data released in the report for 1 October to 31 December 2023 reflected similar levels of discharge before treatment (33.1%)</w:t>
      </w:r>
    </w:p>
  </w:footnote>
  <w:footnote w:id="35">
    <w:p w14:paraId="2904F97D" w14:textId="77777777" w:rsidR="00CB1379" w:rsidRDefault="00CB1379" w:rsidP="00CB1379">
      <w:pPr>
        <w:pStyle w:val="FootnoteText"/>
      </w:pPr>
      <w:r>
        <w:rPr>
          <w:rStyle w:val="FootnoteReference"/>
        </w:rPr>
        <w:footnoteRef/>
      </w:r>
      <w:r>
        <w:t xml:space="preserve"> </w:t>
      </w:r>
      <w:hyperlink r:id="rId34" w:history="1">
        <w:r>
          <w:rPr>
            <w:rStyle w:val="Hyperlink"/>
          </w:rPr>
          <w:t>Residential Rehabilitation Working Group: drug and alcohol residential treatment services - recommendations - gov.scot (www.gov.scot)</w:t>
        </w:r>
      </w:hyperlink>
    </w:p>
  </w:footnote>
  <w:footnote w:id="36">
    <w:p w14:paraId="3EE4096D" w14:textId="77777777" w:rsidR="00CB1379" w:rsidRDefault="00CB1379" w:rsidP="00CB1379">
      <w:pPr>
        <w:pStyle w:val="FootnoteText"/>
      </w:pPr>
      <w:r>
        <w:rPr>
          <w:rStyle w:val="FootnoteReference"/>
        </w:rPr>
        <w:footnoteRef/>
      </w:r>
      <w:r>
        <w:t xml:space="preserve"> </w:t>
      </w:r>
      <w:hyperlink r:id="rId35" w:history="1">
        <w:r>
          <w:rPr>
            <w:rStyle w:val="Hyperlink"/>
          </w:rPr>
          <w:t>Residential rehabilitation: powering up in 2021 (shaap.org.uk)</w:t>
        </w:r>
      </w:hyperlink>
    </w:p>
  </w:footnote>
  <w:footnote w:id="37">
    <w:p w14:paraId="64BFCD49" w14:textId="46BEDA28" w:rsidR="00AC33BB" w:rsidRDefault="00AC33BB" w:rsidP="00AC33BB">
      <w:pPr>
        <w:pStyle w:val="FootnoteText"/>
      </w:pPr>
      <w:r>
        <w:rPr>
          <w:rStyle w:val="FootnoteReference"/>
        </w:rPr>
        <w:footnoteRef/>
      </w:r>
      <w:hyperlink r:id="rId36" w:history="1">
        <w:r>
          <w:rPr>
            <w:rStyle w:val="Hyperlink"/>
          </w:rPr>
          <w:t>Evaluation of the Scottish Government Residential Rehabilitation programme: Baseline report (</w:t>
        </w:r>
        <w:proofErr w:type="spellStart"/>
        <w:proofErr w:type="gramStart"/>
        <w:r>
          <w:rPr>
            <w:rStyle w:val="Hyperlink"/>
          </w:rPr>
          <w:t>publichealthscotland.scot</w:t>
        </w:r>
        <w:proofErr w:type="spellEnd"/>
        <w:proofErr w:type="gramEnd"/>
        <w:r>
          <w:rPr>
            <w:rStyle w:val="Hyperlink"/>
          </w:rPr>
          <w:t>)</w:t>
        </w:r>
      </w:hyperlink>
    </w:p>
  </w:footnote>
  <w:footnote w:id="38">
    <w:p w14:paraId="2D335EDC" w14:textId="5179BFC5" w:rsidR="00AC33BB" w:rsidRDefault="00AC33BB" w:rsidP="00AC33BB">
      <w:pPr>
        <w:pStyle w:val="FootnoteText"/>
      </w:pPr>
      <w:r>
        <w:rPr>
          <w:rStyle w:val="FootnoteReference"/>
        </w:rPr>
        <w:footnoteRef/>
      </w:r>
      <w:hyperlink r:id="rId37" w:history="1">
        <w:r>
          <w:rPr>
            <w:rStyle w:val="Hyperlink"/>
          </w:rPr>
          <w:t>Evaluation of the Scottish Government Residential Rehabilitation programme: Baseline report (</w:t>
        </w:r>
        <w:proofErr w:type="spellStart"/>
        <w:proofErr w:type="gramStart"/>
        <w:r>
          <w:rPr>
            <w:rStyle w:val="Hyperlink"/>
          </w:rPr>
          <w:t>publichealthscotland.scot</w:t>
        </w:r>
        <w:proofErr w:type="spellEnd"/>
        <w:proofErr w:type="gramEnd"/>
        <w:r>
          <w:rPr>
            <w:rStyle w:val="Hyperlink"/>
          </w:rPr>
          <w:t>)</w:t>
        </w:r>
      </w:hyperlink>
    </w:p>
  </w:footnote>
  <w:footnote w:id="39">
    <w:p w14:paraId="632F65E6" w14:textId="77777777" w:rsidR="00D54D9E" w:rsidRDefault="00D54D9E" w:rsidP="00D54D9E">
      <w:pPr>
        <w:pStyle w:val="FootnoteText"/>
      </w:pPr>
      <w:r>
        <w:rPr>
          <w:rStyle w:val="FootnoteReference"/>
        </w:rPr>
        <w:footnoteRef/>
      </w:r>
      <w:r>
        <w:t xml:space="preserve"> </w:t>
      </w:r>
      <w:hyperlink r:id="rId38" w:history="1">
        <w:r>
          <w:rPr>
            <w:rStyle w:val="Hyperlink"/>
          </w:rPr>
          <w:t>Residential rehabilitation: status report on current levels of capacity - gov.scot (www.gov.scot)</w:t>
        </w:r>
      </w:hyperlink>
    </w:p>
  </w:footnote>
  <w:footnote w:id="40">
    <w:p w14:paraId="2C6510C8" w14:textId="77777777" w:rsidR="00D54D9E" w:rsidRDefault="00D54D9E" w:rsidP="00D54D9E">
      <w:pPr>
        <w:pStyle w:val="FootnoteText"/>
      </w:pPr>
      <w:r>
        <w:rPr>
          <w:rStyle w:val="FootnoteReference"/>
        </w:rPr>
        <w:footnoteRef/>
      </w:r>
      <w:r>
        <w:t xml:space="preserve"> </w:t>
      </w:r>
      <w:hyperlink r:id="rId39" w:history="1">
        <w:r>
          <w:rPr>
            <w:rStyle w:val="Hyperlink"/>
          </w:rPr>
          <w:t>LEAP Information for Professionals (</w:t>
        </w:r>
        <w:proofErr w:type="spellStart"/>
        <w:proofErr w:type="gramStart"/>
        <w:r>
          <w:rPr>
            <w:rStyle w:val="Hyperlink"/>
          </w:rPr>
          <w:t>nhslothian.scot</w:t>
        </w:r>
        <w:proofErr w:type="spellEnd"/>
        <w:proofErr w:type="gramEnd"/>
        <w:r>
          <w:rPr>
            <w:rStyle w:val="Hyperlink"/>
          </w:rPr>
          <w:t>)</w:t>
        </w:r>
      </w:hyperlink>
    </w:p>
  </w:footnote>
  <w:footnote w:id="41">
    <w:p w14:paraId="3B126A2F" w14:textId="77777777" w:rsidR="00D54D9E" w:rsidRDefault="00D54D9E" w:rsidP="00D54D9E">
      <w:pPr>
        <w:pStyle w:val="FootnoteText"/>
      </w:pPr>
      <w:r>
        <w:rPr>
          <w:rStyle w:val="FootnoteReference"/>
        </w:rPr>
        <w:footnoteRef/>
      </w:r>
      <w:r>
        <w:t xml:space="preserve"> </w:t>
      </w:r>
      <w:hyperlink r:id="rId40" w:history="1">
        <w:r>
          <w:rPr>
            <w:rStyle w:val="Hyperlink"/>
          </w:rPr>
          <w:t>LEAP of Faith – The NEN – North Edinburgh News</w:t>
        </w:r>
      </w:hyperlink>
    </w:p>
  </w:footnote>
  <w:footnote w:id="42">
    <w:p w14:paraId="4C805681" w14:textId="70DE176A" w:rsidR="00D54D9E" w:rsidRDefault="00D54D9E" w:rsidP="00D54D9E">
      <w:pPr>
        <w:pStyle w:val="FootnoteText"/>
      </w:pPr>
      <w:r>
        <w:rPr>
          <w:rStyle w:val="FootnoteReference"/>
        </w:rPr>
        <w:footnoteRef/>
      </w:r>
      <w:hyperlink r:id="rId41" w:history="1">
        <w:r>
          <w:rPr>
            <w:rStyle w:val="Hyperlink"/>
          </w:rPr>
          <w:t>Evaluation of the Scottish Government Residential Rehabilitation programme: Baseline report (</w:t>
        </w:r>
        <w:proofErr w:type="spellStart"/>
        <w:proofErr w:type="gramStart"/>
        <w:r>
          <w:rPr>
            <w:rStyle w:val="Hyperlink"/>
          </w:rPr>
          <w:t>publichealthscotland.scot</w:t>
        </w:r>
        <w:proofErr w:type="spellEnd"/>
        <w:proofErr w:type="gramEnd"/>
        <w:r>
          <w:rPr>
            <w:rStyle w:val="Hyperlink"/>
          </w:rPr>
          <w:t>)</w:t>
        </w:r>
      </w:hyperlink>
    </w:p>
  </w:footnote>
  <w:footnote w:id="43">
    <w:p w14:paraId="1D2C85C2" w14:textId="77777777" w:rsidR="00A019EC" w:rsidRDefault="00A019EC" w:rsidP="00A019EC">
      <w:pPr>
        <w:pStyle w:val="FootnoteText"/>
      </w:pPr>
      <w:r>
        <w:rPr>
          <w:rStyle w:val="FootnoteReference"/>
        </w:rPr>
        <w:footnoteRef/>
      </w:r>
      <w:r>
        <w:t xml:space="preserve"> </w:t>
      </w:r>
      <w:hyperlink r:id="rId42" w:history="1">
        <w:r>
          <w:rPr>
            <w:rStyle w:val="Hyperlink"/>
          </w:rPr>
          <w:t>Pathways into, through and out of Residential Rehabilitation in Scotland: Results from the Residential Rehabilitation Providers Survey (www.gov.scot)</w:t>
        </w:r>
      </w:hyperlink>
    </w:p>
  </w:footnote>
  <w:footnote w:id="44">
    <w:p w14:paraId="21A720B2" w14:textId="15359E90" w:rsidR="007724FF" w:rsidRDefault="007724FF">
      <w:pPr>
        <w:pStyle w:val="FootnoteText"/>
      </w:pPr>
      <w:r>
        <w:rPr>
          <w:rStyle w:val="FootnoteReference"/>
        </w:rPr>
        <w:footnoteRef/>
      </w:r>
      <w:r>
        <w:t xml:space="preserve"> </w:t>
      </w:r>
      <w:hyperlink r:id="rId43" w:history="1">
        <w:r>
          <w:rPr>
            <w:rStyle w:val="Hyperlink"/>
          </w:rPr>
          <w:t>Pathways into, through and out of Residential Rehabilitation in Scotland: Results from the Residential Rehabilitation Providers Survey (www.gov.scot)</w:t>
        </w:r>
      </w:hyperlink>
    </w:p>
  </w:footnote>
  <w:footnote w:id="45">
    <w:p w14:paraId="763F3E02" w14:textId="3E6CC6D8" w:rsidR="005A572E" w:rsidRDefault="005A572E" w:rsidP="005A572E">
      <w:pPr>
        <w:pStyle w:val="FootnoteText"/>
      </w:pPr>
      <w:r>
        <w:rPr>
          <w:rStyle w:val="FootnoteReference"/>
        </w:rPr>
        <w:footnoteRef/>
      </w:r>
      <w:hyperlink r:id="rId44" w:history="1">
        <w:r>
          <w:rPr>
            <w:rStyle w:val="Hyperlink"/>
          </w:rPr>
          <w:t>Evaluation of the Scottish Government Residential Rehabilitation programme: Baseline report (</w:t>
        </w:r>
        <w:proofErr w:type="spellStart"/>
        <w:proofErr w:type="gramStart"/>
        <w:r>
          <w:rPr>
            <w:rStyle w:val="Hyperlink"/>
          </w:rPr>
          <w:t>publichealthscotland.scot</w:t>
        </w:r>
        <w:proofErr w:type="spellEnd"/>
        <w:proofErr w:type="gramEnd"/>
        <w:r>
          <w:rPr>
            <w:rStyle w:val="Hyperlink"/>
          </w:rPr>
          <w:t>)</w:t>
        </w:r>
      </w:hyperlink>
    </w:p>
  </w:footnote>
  <w:footnote w:id="46">
    <w:p w14:paraId="2633B60C" w14:textId="6E15342B" w:rsidR="005A572E" w:rsidRPr="005F6C52" w:rsidRDefault="005A572E" w:rsidP="00C950D7">
      <w:pPr>
        <w:pStyle w:val="BillADPara"/>
      </w:pPr>
      <w:r w:rsidRPr="005F6C52">
        <w:rPr>
          <w:rStyle w:val="FootnoteReference"/>
          <w:sz w:val="20"/>
          <w:szCs w:val="20"/>
        </w:rPr>
        <w:footnoteRef/>
      </w:r>
      <w:r w:rsidRPr="00911640">
        <w:t>Public Health Scotland highlighted that this snapshot was carried out during the COVID-19 pandemic so should be treated with caution</w:t>
      </w:r>
      <w:r w:rsidR="002E6EEF" w:rsidRPr="00911640">
        <w:t>.</w:t>
      </w:r>
    </w:p>
  </w:footnote>
  <w:footnote w:id="47">
    <w:p w14:paraId="7FD6305F" w14:textId="6038E065" w:rsidR="00FA02D6" w:rsidRDefault="00FA02D6">
      <w:pPr>
        <w:pStyle w:val="FootnoteText"/>
      </w:pPr>
      <w:r>
        <w:rPr>
          <w:rStyle w:val="FootnoteReference"/>
        </w:rPr>
        <w:footnoteRef/>
      </w:r>
      <w:r>
        <w:t xml:space="preserve"> </w:t>
      </w:r>
      <w:hyperlink r:id="rId45" w:history="1">
        <w:r>
          <w:rPr>
            <w:rStyle w:val="Hyperlink"/>
          </w:rPr>
          <w:t>23-24+ADP+Funding+for+publish.xlsx (live.com)</w:t>
        </w:r>
      </w:hyperlink>
    </w:p>
  </w:footnote>
  <w:footnote w:id="48">
    <w:p w14:paraId="25B91390" w14:textId="34B70591" w:rsidR="00FA02D6" w:rsidRDefault="00FA02D6">
      <w:pPr>
        <w:pStyle w:val="FootnoteText"/>
      </w:pPr>
      <w:r>
        <w:rPr>
          <w:rStyle w:val="FootnoteReference"/>
        </w:rPr>
        <w:footnoteRef/>
      </w:r>
      <w:r>
        <w:t xml:space="preserve"> </w:t>
      </w:r>
      <w:hyperlink r:id="rId46" w:history="1">
        <w:r>
          <w:rPr>
            <w:rStyle w:val="Hyperlink"/>
          </w:rPr>
          <w:t>National Mission on Drugs: annual report 2022-2023 - gov.scot (www.gov.scot)</w:t>
        </w:r>
      </w:hyperlink>
    </w:p>
  </w:footnote>
  <w:footnote w:id="49">
    <w:p w14:paraId="0EE8C207" w14:textId="68415C82" w:rsidR="00987FD9" w:rsidRDefault="00987FD9">
      <w:pPr>
        <w:pStyle w:val="FootnoteText"/>
      </w:pPr>
      <w:r w:rsidRPr="008041AD">
        <w:rPr>
          <w:rStyle w:val="FootnoteReference"/>
        </w:rPr>
        <w:footnoteRef/>
      </w:r>
      <w:hyperlink r:id="rId47" w:anchor=":~:text=Provides%20an%20analysis%20of%20the,affected%20by%20drugs%20in%20Scotland" w:history="1">
        <w:r w:rsidR="00B172BA" w:rsidRPr="00D77800">
          <w:rPr>
            <w:rStyle w:val="Hyperlink"/>
            <w:sz w:val="18"/>
            <w:szCs w:val="18"/>
            <w:shd w:val="clear" w:color="auto" w:fill="FFFFFF"/>
          </w:rPr>
          <w:t>https://www.gov.scot/publications/national-mission-drugs-annual-monitoring-report-2022-2023/#:~:text=Provides%20an%20analysis%20of%20the,affected%20by%20drugs%20in%20Scotland</w:t>
        </w:r>
      </w:hyperlink>
      <w:r w:rsidRPr="00D77800">
        <w:rPr>
          <w:color w:val="000000"/>
          <w:sz w:val="18"/>
          <w:szCs w:val="18"/>
          <w:shd w:val="clear" w:color="auto" w:fill="FFFFFF"/>
        </w:rPr>
        <w:t>.</w:t>
      </w:r>
    </w:p>
  </w:footnote>
  <w:footnote w:id="50">
    <w:p w14:paraId="572E9A83" w14:textId="77777777" w:rsidR="008B2F1B" w:rsidRDefault="008B2F1B" w:rsidP="008B2F1B">
      <w:pPr>
        <w:pStyle w:val="FootnoteText"/>
      </w:pPr>
      <w:r>
        <w:rPr>
          <w:rStyle w:val="FootnoteReference"/>
        </w:rPr>
        <w:footnoteRef/>
      </w:r>
      <w:r>
        <w:t xml:space="preserve"> </w:t>
      </w:r>
      <w:hyperlink r:id="rId48" w:history="1">
        <w:r>
          <w:rPr>
            <w:rStyle w:val="Hyperlink"/>
          </w:rPr>
          <w:t>National drug and alcohol treatment waiting times - 1 October 2023 to 31 December 2023 - National drug and alcohol treatment waiting times - Publications - Public Health Scotland</w:t>
        </w:r>
      </w:hyperlink>
    </w:p>
  </w:footnote>
  <w:footnote w:id="51">
    <w:p w14:paraId="75BBA1DB" w14:textId="42AB3119" w:rsidR="004A1356" w:rsidRDefault="004A1356">
      <w:pPr>
        <w:pStyle w:val="FootnoteText"/>
      </w:pPr>
      <w:r>
        <w:rPr>
          <w:rStyle w:val="FootnoteReference"/>
        </w:rPr>
        <w:footnoteRef/>
      </w:r>
      <w:r>
        <w:t xml:space="preserve"> </w:t>
      </w:r>
      <w:hyperlink r:id="rId49" w:history="1">
        <w:r>
          <w:rPr>
            <w:rStyle w:val="Hyperlink"/>
          </w:rPr>
          <w:t>National Drug and Alcohol Treatment Waiting Times (</w:t>
        </w:r>
        <w:proofErr w:type="spellStart"/>
        <w:proofErr w:type="gramStart"/>
        <w:r>
          <w:rPr>
            <w:rStyle w:val="Hyperlink"/>
          </w:rPr>
          <w:t>publichealthscotland.scot</w:t>
        </w:r>
        <w:proofErr w:type="spellEnd"/>
        <w:proofErr w:type="gramEnd"/>
        <w:r>
          <w:rPr>
            <w:rStyle w:val="Hyperlink"/>
          </w:rPr>
          <w:t>)</w:t>
        </w:r>
      </w:hyperlink>
    </w:p>
  </w:footnote>
  <w:footnote w:id="52">
    <w:p w14:paraId="2E3B20F7" w14:textId="45F44D7D" w:rsidR="004A7FE1" w:rsidRDefault="004A7FE1" w:rsidP="004A7FE1">
      <w:pPr>
        <w:pStyle w:val="FootnoteText"/>
      </w:pPr>
      <w:r>
        <w:rPr>
          <w:rStyle w:val="FootnoteReference"/>
        </w:rPr>
        <w:footnoteRef/>
      </w:r>
      <w:r>
        <w:t xml:space="preserve"> </w:t>
      </w:r>
      <w:r w:rsidR="00FB2601">
        <w:t>Meeting between NGBU and Turning Point Scotland – 16 February 2024</w:t>
      </w:r>
    </w:p>
  </w:footnote>
  <w:footnote w:id="53">
    <w:p w14:paraId="2A3613F8" w14:textId="5F175369" w:rsidR="004B1A81" w:rsidRDefault="004B1A81">
      <w:pPr>
        <w:pStyle w:val="FootnoteText"/>
      </w:pPr>
      <w:r>
        <w:rPr>
          <w:rStyle w:val="FootnoteReference"/>
        </w:rPr>
        <w:footnoteRef/>
      </w:r>
      <w:r>
        <w:t xml:space="preserve"> It should be noted that the waiting times expressed here may have been longer </w:t>
      </w:r>
      <w:proofErr w:type="gramStart"/>
      <w:r>
        <w:t>as a result of</w:t>
      </w:r>
      <w:proofErr w:type="gramEnd"/>
      <w:r>
        <w:t xml:space="preserve"> the Covid pandemic, including the need for facilities to allow for social distancing in capacity levels.</w:t>
      </w:r>
      <w:r w:rsidR="00521F58">
        <w:t xml:space="preserve"> Report available at: </w:t>
      </w:r>
      <w:hyperlink r:id="rId50" w:history="1">
        <w:r w:rsidR="00521F58">
          <w:rPr>
            <w:rStyle w:val="Hyperlink"/>
          </w:rPr>
          <w:t>Pathways into, through and out of Residential Rehabilitation in Scotland: Results from the Residential Rehabilitation Providers Survey (www.gov.scot)</w:t>
        </w:r>
      </w:hyperlink>
    </w:p>
  </w:footnote>
  <w:footnote w:id="54">
    <w:p w14:paraId="313F2CDF" w14:textId="77777777" w:rsidR="00AE14D7" w:rsidRDefault="00AE14D7" w:rsidP="00AE14D7">
      <w:pPr>
        <w:pStyle w:val="FootnoteText"/>
      </w:pPr>
      <w:r>
        <w:rPr>
          <w:rStyle w:val="FootnoteReference"/>
        </w:rPr>
        <w:footnoteRef/>
      </w:r>
      <w:r>
        <w:t xml:space="preserve"> </w:t>
      </w:r>
      <w:hyperlink r:id="rId51" w:anchor=":~:text=Provides%20an%20analysis%20of%20the,affected%20by%20drugs%20in%20Scotland." w:history="1">
        <w:r>
          <w:rPr>
            <w:rStyle w:val="Hyperlink"/>
          </w:rPr>
          <w:t>National Mission on Drugs: annual monitoring report 2022-2023 - gov.scot (www.gov.scot)</w:t>
        </w:r>
      </w:hyperlink>
    </w:p>
  </w:footnote>
  <w:footnote w:id="55">
    <w:p w14:paraId="2CCD07FE" w14:textId="18F9F1CF" w:rsidR="004B1A81" w:rsidRDefault="004B1A81" w:rsidP="006932EF">
      <w:pPr>
        <w:pStyle w:val="FootnoteText"/>
      </w:pPr>
      <w:r>
        <w:rPr>
          <w:rStyle w:val="FootnoteReference"/>
        </w:rPr>
        <w:footnoteRef/>
      </w:r>
      <w:r>
        <w:t xml:space="preserve"> For example, </w:t>
      </w:r>
      <w:proofErr w:type="gramStart"/>
      <w:r>
        <w:t>a large number of</w:t>
      </w:r>
      <w:proofErr w:type="gramEnd"/>
      <w:r>
        <w:t xml:space="preserve"> people may not consider themselves to have an addiction to alcohol or drugs or may be very resistant to seeking treatment.</w:t>
      </w:r>
    </w:p>
  </w:footnote>
  <w:footnote w:id="56">
    <w:p w14:paraId="534170B7" w14:textId="6AB0D1D7" w:rsidR="009817A9" w:rsidRPr="006932EF" w:rsidRDefault="009817A9" w:rsidP="006932EF">
      <w:pPr>
        <w:shd w:val="clear" w:color="auto" w:fill="FFFFFF"/>
        <w:rPr>
          <w:rFonts w:ascii="Helvetica" w:hAnsi="Helvetica" w:cs="Helvetica"/>
          <w:color w:val="333333"/>
          <w:sz w:val="21"/>
          <w:szCs w:val="21"/>
          <w:highlight w:val="yellow"/>
        </w:rPr>
      </w:pPr>
      <w:r>
        <w:rPr>
          <w:rStyle w:val="FootnoteReference"/>
        </w:rPr>
        <w:footnoteRef/>
      </w:r>
      <w:r>
        <w:t xml:space="preserve"> </w:t>
      </w:r>
      <w:hyperlink r:id="rId52" w:history="1">
        <w:r w:rsidRPr="009817A9">
          <w:rPr>
            <w:rStyle w:val="Hyperlink"/>
            <w:sz w:val="20"/>
          </w:rPr>
          <w:t>Drug and Alcohol Treatment Waiting Times</w:t>
        </w:r>
      </w:hyperlink>
      <w:r w:rsidRPr="009817A9">
        <w:rPr>
          <w:sz w:val="20"/>
        </w:rPr>
        <w:t xml:space="preserve"> statistics notes state: </w:t>
      </w:r>
      <w:r w:rsidRPr="009817A9">
        <w:rPr>
          <w:color w:val="333333"/>
          <w:sz w:val="20"/>
        </w:rPr>
        <w:t>Where people are referred to more than one service provider, they will have more than one referral. Additionally multiple treatments can be recorded for one referral. Therefore, when interpretating these statistics it should be noted that the number of treatments does not directly reflect the number of people in treatment.</w:t>
      </w:r>
    </w:p>
  </w:footnote>
  <w:footnote w:id="57">
    <w:p w14:paraId="15DA5627" w14:textId="17BD6285" w:rsidR="004B1A81" w:rsidRDefault="004B1A81" w:rsidP="006932EF">
      <w:pPr>
        <w:pStyle w:val="FootnoteText"/>
      </w:pPr>
      <w:r>
        <w:rPr>
          <w:rStyle w:val="FootnoteReference"/>
        </w:rPr>
        <w:footnoteRef/>
      </w:r>
      <w:r>
        <w:t xml:space="preserve"> </w:t>
      </w:r>
      <w:hyperlink r:id="rId53" w:history="1">
        <w:r>
          <w:rPr>
            <w:rStyle w:val="Hyperlink"/>
          </w:rPr>
          <w:t>National Drug and Alcohol Treatment Waiting Times (</w:t>
        </w:r>
        <w:proofErr w:type="spellStart"/>
        <w:proofErr w:type="gramStart"/>
        <w:r>
          <w:rPr>
            <w:rStyle w:val="Hyperlink"/>
          </w:rPr>
          <w:t>publichealthscotland.scot</w:t>
        </w:r>
        <w:proofErr w:type="spellEnd"/>
        <w:proofErr w:type="gramEnd"/>
        <w:r>
          <w:rPr>
            <w:rStyle w:val="Hyperlink"/>
          </w:rPr>
          <w:t>)</w:t>
        </w:r>
      </w:hyperlink>
      <w:r>
        <w:rPr>
          <w:rStyle w:val="Hyperlink"/>
        </w:rPr>
        <w:t xml:space="preserve"> p.21</w:t>
      </w:r>
    </w:p>
  </w:footnote>
  <w:footnote w:id="58">
    <w:p w14:paraId="6489C34A" w14:textId="761B57BC" w:rsidR="004B1A81" w:rsidRDefault="004B1A81">
      <w:pPr>
        <w:pStyle w:val="FootnoteText"/>
      </w:pPr>
      <w:r>
        <w:rPr>
          <w:rStyle w:val="FootnoteReference"/>
        </w:rPr>
        <w:footnoteRef/>
      </w:r>
      <w:r>
        <w:t xml:space="preserve"> </w:t>
      </w:r>
      <w:hyperlink r:id="rId54" w:history="1">
        <w:r>
          <w:rPr>
            <w:rStyle w:val="Hyperlink"/>
          </w:rPr>
          <w:t>National Drug and Alcohol Treatment Waiting Times (</w:t>
        </w:r>
        <w:proofErr w:type="spellStart"/>
        <w:proofErr w:type="gramStart"/>
        <w:r>
          <w:rPr>
            <w:rStyle w:val="Hyperlink"/>
          </w:rPr>
          <w:t>publichealthscotland.scot</w:t>
        </w:r>
        <w:proofErr w:type="spellEnd"/>
        <w:proofErr w:type="gramEnd"/>
        <w:r>
          <w:rPr>
            <w:rStyle w:val="Hyperlink"/>
          </w:rPr>
          <w:t>)</w:t>
        </w:r>
      </w:hyperlink>
      <w:r>
        <w:rPr>
          <w:rStyle w:val="Hyperlink"/>
        </w:rPr>
        <w:t xml:space="preserve"> p.21</w:t>
      </w:r>
    </w:p>
  </w:footnote>
  <w:footnote w:id="59">
    <w:p w14:paraId="5088C43E" w14:textId="100F491A" w:rsidR="00BA2C59" w:rsidRDefault="00BA2C59">
      <w:pPr>
        <w:pStyle w:val="FootnoteText"/>
      </w:pPr>
      <w:r>
        <w:rPr>
          <w:rStyle w:val="FootnoteReference"/>
        </w:rPr>
        <w:footnoteRef/>
      </w:r>
      <w:r>
        <w:t xml:space="preserve"> </w:t>
      </w:r>
      <w:hyperlink r:id="rId55" w:history="1">
        <w:r>
          <w:rPr>
            <w:rStyle w:val="Hyperlink"/>
          </w:rPr>
          <w:t>National Drug and Alcohol Treatment Waiting Times (</w:t>
        </w:r>
        <w:proofErr w:type="spellStart"/>
        <w:proofErr w:type="gramStart"/>
        <w:r>
          <w:rPr>
            <w:rStyle w:val="Hyperlink"/>
          </w:rPr>
          <w:t>publichealthscotland.scot</w:t>
        </w:r>
        <w:proofErr w:type="spellEnd"/>
        <w:proofErr w:type="gramEnd"/>
        <w:r>
          <w:rPr>
            <w:rStyle w:val="Hyperlink"/>
          </w:rPr>
          <w:t>)</w:t>
        </w:r>
      </w:hyperlink>
      <w:r>
        <w:t>, p21</w:t>
      </w:r>
    </w:p>
  </w:footnote>
  <w:footnote w:id="60">
    <w:p w14:paraId="04168905" w14:textId="2BB5A062" w:rsidR="004B1A81" w:rsidRDefault="004B1A81">
      <w:pPr>
        <w:pStyle w:val="FootnoteText"/>
      </w:pPr>
      <w:r>
        <w:rPr>
          <w:rStyle w:val="FootnoteReference"/>
        </w:rPr>
        <w:footnoteRef/>
      </w:r>
      <w:r>
        <w:t xml:space="preserve"> It is not assumed that it would be more than two thirds as there will remain plenty of reasons for discharge that do not relate to the bullet points on page </w:t>
      </w:r>
      <w:r w:rsidR="00BA2C59">
        <w:t xml:space="preserve">22 of </w:t>
      </w:r>
      <w:hyperlink r:id="rId56" w:history="1">
        <w:r w:rsidR="00BA2C59">
          <w:rPr>
            <w:rStyle w:val="Hyperlink"/>
          </w:rPr>
          <w:t>National Drug and Alcohol Treatment Waiting Times (</w:t>
        </w:r>
        <w:proofErr w:type="spellStart"/>
        <w:r w:rsidR="00BA2C59">
          <w:rPr>
            <w:rStyle w:val="Hyperlink"/>
          </w:rPr>
          <w:t>publichealthscotland.scot</w:t>
        </w:r>
        <w:proofErr w:type="spellEnd"/>
        <w:r w:rsidR="00BA2C59">
          <w:rPr>
            <w:rStyle w:val="Hyperlink"/>
          </w:rPr>
          <w:t>)</w:t>
        </w:r>
      </w:hyperlink>
      <w:r w:rsidR="00BA2C59">
        <w:t>.</w:t>
      </w:r>
      <w:r>
        <w:t xml:space="preserve"> </w:t>
      </w:r>
      <w:r w:rsidR="00BA2C59">
        <w:t>F</w:t>
      </w:r>
      <w:r>
        <w:t xml:space="preserve">or </w:t>
      </w:r>
      <w:proofErr w:type="gramStart"/>
      <w:r>
        <w:t>example</w:t>
      </w:r>
      <w:proofErr w:type="gramEnd"/>
      <w:r>
        <w:t xml:space="preserve"> it may relate to the patient moving to another area.</w:t>
      </w:r>
    </w:p>
  </w:footnote>
  <w:footnote w:id="61">
    <w:p w14:paraId="468ED5EB" w14:textId="7026D368" w:rsidR="009B0894" w:rsidRDefault="009B0894">
      <w:pPr>
        <w:pStyle w:val="FootnoteText"/>
      </w:pPr>
      <w:r>
        <w:rPr>
          <w:rStyle w:val="FootnoteReference"/>
        </w:rPr>
        <w:footnoteRef/>
      </w:r>
      <w:r>
        <w:t xml:space="preserve"> A proportion of this budget will also be allocated to preventative spending such as Minimum Unit Pricing implementation and other forms of early intervention such as drugs education</w:t>
      </w:r>
    </w:p>
  </w:footnote>
  <w:footnote w:id="62">
    <w:p w14:paraId="593CC0B5" w14:textId="66B58696" w:rsidR="003758E5" w:rsidRDefault="003758E5" w:rsidP="006317FF">
      <w:pPr>
        <w:pStyle w:val="FootnoteText"/>
        <w:jc w:val="left"/>
      </w:pPr>
      <w:r>
        <w:rPr>
          <w:rStyle w:val="FootnoteReference"/>
        </w:rPr>
        <w:footnoteRef/>
      </w:r>
      <w:r w:rsidR="006317FF">
        <w:t xml:space="preserve"> </w:t>
      </w:r>
      <w:r>
        <w:t>Scottish Government (2023). Scottish Government Marketing Spend 2022-23</w:t>
      </w:r>
      <w:r w:rsidR="00094AB1">
        <w:t>. Available at:</w:t>
      </w:r>
      <w:r>
        <w:t xml:space="preserve"> </w:t>
      </w:r>
      <w:hyperlink r:id="rId57" w:history="1">
        <w:r w:rsidRPr="00745861">
          <w:rPr>
            <w:rStyle w:val="Hyperlink"/>
          </w:rPr>
          <w:t>https://www.gov.scot/publications/marketing-spend-2022-to-2023/</w:t>
        </w:r>
      </w:hyperlink>
    </w:p>
  </w:footnote>
  <w:footnote w:id="63">
    <w:p w14:paraId="75206B64" w14:textId="7BE006FB" w:rsidR="000500E2" w:rsidRDefault="000500E2">
      <w:pPr>
        <w:pStyle w:val="FootnoteText"/>
      </w:pPr>
      <w:r>
        <w:rPr>
          <w:rStyle w:val="FootnoteReference"/>
        </w:rPr>
        <w:footnoteRef/>
      </w:r>
      <w:r>
        <w:t xml:space="preserve"> </w:t>
      </w:r>
      <w:hyperlink r:id="rId58" w:history="1">
        <w:r>
          <w:rPr>
            <w:rStyle w:val="Hyperlink"/>
          </w:rPr>
          <w:t>Financial Memorandum accessible (</w:t>
        </w:r>
        <w:proofErr w:type="spellStart"/>
        <w:proofErr w:type="gramStart"/>
        <w:r>
          <w:rPr>
            <w:rStyle w:val="Hyperlink"/>
          </w:rPr>
          <w:t>parliament.scot</w:t>
        </w:r>
        <w:proofErr w:type="spellEnd"/>
        <w:proofErr w:type="gramEnd"/>
        <w:r>
          <w:rPr>
            <w:rStyle w:val="Hyperlink"/>
          </w:rPr>
          <w:t>)</w:t>
        </w:r>
      </w:hyperlink>
      <w:r>
        <w:t xml:space="preserve"> P.5</w:t>
      </w:r>
    </w:p>
  </w:footnote>
  <w:footnote w:id="64">
    <w:p w14:paraId="03FC1FCE" w14:textId="0F9489C5" w:rsidR="7D46E723" w:rsidRPr="00E15A2B" w:rsidRDefault="7D46E723" w:rsidP="63F6C851">
      <w:pPr>
        <w:pStyle w:val="FootnoteText"/>
      </w:pPr>
      <w:r w:rsidRPr="00E15A2B">
        <w:rPr>
          <w:rStyle w:val="FootnoteReference"/>
        </w:rPr>
        <w:footnoteRef/>
      </w:r>
      <w:r w:rsidR="63F6C851" w:rsidRPr="00E15A2B">
        <w:t xml:space="preserve"> The remaining 3% of budget allocation </w:t>
      </w:r>
      <w:r w:rsidR="63F6C851" w:rsidRPr="00C950D7">
        <w:rPr>
          <w:rFonts w:eastAsia="Calibri"/>
        </w:rPr>
        <w:t xml:space="preserve">was allocated </w:t>
      </w:r>
      <w:r w:rsidR="699C19D2" w:rsidRPr="00C950D7">
        <w:t xml:space="preserve">by the Scottish Government </w:t>
      </w:r>
      <w:r w:rsidR="63F6C851" w:rsidRPr="00C950D7">
        <w:rPr>
          <w:rFonts w:eastAsia="Calibri"/>
        </w:rPr>
        <w:t xml:space="preserve">directly </w:t>
      </w:r>
      <w:r w:rsidR="63F6C851" w:rsidRPr="00E15A2B">
        <w:t xml:space="preserve">to “core funded organisations”. </w:t>
      </w:r>
      <w:r w:rsidR="51B3EEBA" w:rsidRPr="00E15A2B">
        <w:t xml:space="preserve">The </w:t>
      </w:r>
      <w:hyperlink r:id="rId59">
        <w:r w:rsidR="51B3EEBA" w:rsidRPr="00E15A2B">
          <w:rPr>
            <w:rStyle w:val="Hyperlink"/>
          </w:rPr>
          <w:t>National Mission on Drugs Annual Report 2022-2023 finance section</w:t>
        </w:r>
      </w:hyperlink>
      <w:r w:rsidR="51B3EEBA" w:rsidRPr="00E15A2B">
        <w:t xml:space="preserve"> sets out examples of these organisations including a number of third sector organisations.</w:t>
      </w:r>
    </w:p>
  </w:footnote>
  <w:footnote w:id="65">
    <w:p w14:paraId="0D500658" w14:textId="5AAEB8B1" w:rsidR="6007B2DF" w:rsidRDefault="6007B2DF" w:rsidP="6007B2DF">
      <w:pPr>
        <w:pStyle w:val="FootnoteText"/>
      </w:pPr>
      <w:r w:rsidRPr="00E15A2B">
        <w:rPr>
          <w:rStyle w:val="FootnoteReference"/>
        </w:rPr>
        <w:footnoteRef/>
      </w:r>
      <w:r w:rsidRPr="00E15A2B">
        <w:t xml:space="preserve"> </w:t>
      </w:r>
      <w:r w:rsidRPr="00C950D7">
        <w:rPr>
          <w:rFonts w:eastAsia="Calibri"/>
          <w:color w:val="000000" w:themeColor="text1"/>
        </w:rPr>
        <w:t>This figure is included as it is assumed that the awareness campaign would need to run in more than one year to ensure that information the level of awareness and understanding of the new process is spread widely across the population. It is assumed this running cost would be lower than the initial cost in year 1 of the campaign as much of the material required to be used in the campaign created in year 1 can be used again in future years.</w:t>
      </w:r>
    </w:p>
  </w:footnote>
  <w:footnote w:id="66">
    <w:p w14:paraId="62640966" w14:textId="12434D4B" w:rsidR="00C41F70" w:rsidRDefault="00C41F70">
      <w:pPr>
        <w:pStyle w:val="FootnoteText"/>
      </w:pPr>
      <w:r>
        <w:rPr>
          <w:rStyle w:val="FootnoteReference"/>
        </w:rPr>
        <w:footnoteRef/>
      </w:r>
      <w:r>
        <w:t xml:space="preserve"> </w:t>
      </w:r>
      <w:hyperlink r:id="rId60" w:history="1">
        <w:r>
          <w:rPr>
            <w:rStyle w:val="Hyperlink"/>
          </w:rPr>
          <w:t>National Mission on Drugs Annual Report 2022-2023 (www.gov.scot)</w:t>
        </w:r>
      </w:hyperlink>
    </w:p>
  </w:footnote>
  <w:footnote w:id="67">
    <w:p w14:paraId="417E25F0" w14:textId="6A88949B" w:rsidR="00B6015D" w:rsidRDefault="00B6015D">
      <w:pPr>
        <w:pStyle w:val="FootnoteText"/>
      </w:pPr>
      <w:r>
        <w:rPr>
          <w:rStyle w:val="FootnoteReference"/>
        </w:rPr>
        <w:footnoteRef/>
      </w:r>
      <w:r>
        <w:t xml:space="preserve"> </w:t>
      </w:r>
      <w:hyperlink r:id="rId61" w:history="1">
        <w:r w:rsidRPr="00B6633B">
          <w:rPr>
            <w:rStyle w:val="Hyperlink"/>
          </w:rPr>
          <w:t>https://www.corra.scot/wp-content/uploads/2023/09/National-Drugs-Mission-Funds_Progress-Report-2023.pdf</w:t>
        </w:r>
      </w:hyperlink>
      <w:r>
        <w:t xml:space="preserve"> </w:t>
      </w:r>
    </w:p>
  </w:footnote>
  <w:footnote w:id="68">
    <w:p w14:paraId="39D2626A" w14:textId="01C3B430" w:rsidR="2B795614" w:rsidRDefault="2B795614" w:rsidP="2B795614">
      <w:pPr>
        <w:pStyle w:val="FootnoteText"/>
      </w:pPr>
      <w:r w:rsidRPr="2B795614">
        <w:rPr>
          <w:rStyle w:val="FootnoteReference"/>
        </w:rPr>
        <w:footnoteRef/>
      </w:r>
      <w:r>
        <w:t xml:space="preserve"> </w:t>
      </w:r>
      <w:hyperlink r:id="rId62">
        <w:r w:rsidRPr="2B795614">
          <w:rPr>
            <w:rStyle w:val="Hyperlink"/>
          </w:rPr>
          <w:t>https://www.gov.scot/publications/national-mission-drugs-annual-report-2022-23/</w:t>
        </w:r>
      </w:hyperlink>
      <w:r>
        <w:t xml:space="preserve"> </w:t>
      </w:r>
    </w:p>
  </w:footnote>
  <w:footnote w:id="69">
    <w:p w14:paraId="58DC8C47" w14:textId="64ACA3F9" w:rsidR="00C60B51" w:rsidRDefault="00C60B51" w:rsidP="00C60B51">
      <w:pPr>
        <w:pStyle w:val="FootnoteText"/>
      </w:pPr>
      <w:r>
        <w:rPr>
          <w:rStyle w:val="FootnoteReference"/>
        </w:rPr>
        <w:footnoteRef/>
      </w:r>
      <w:r>
        <w:t xml:space="preserve"> </w:t>
      </w:r>
      <w:hyperlink r:id="rId63" w:anchor=":~:text=The%20estimated%20number%20of%20individuals,aged%20between%2015%20and%2064." w:history="1">
        <w:r>
          <w:rPr>
            <w:rStyle w:val="Hyperlink"/>
          </w:rPr>
          <w:t>Drugs overview - Drugs - Health topics - Public Health Scotland</w:t>
        </w:r>
      </w:hyperlink>
    </w:p>
  </w:footnote>
  <w:footnote w:id="70">
    <w:p w14:paraId="1C0B96DA" w14:textId="65CF8A41" w:rsidR="00C03AB4" w:rsidRDefault="00C03AB4">
      <w:pPr>
        <w:pStyle w:val="FootnoteText"/>
      </w:pPr>
      <w:r>
        <w:rPr>
          <w:rStyle w:val="FootnoteReference"/>
        </w:rPr>
        <w:footnoteRef/>
      </w:r>
      <w:r>
        <w:t xml:space="preserve"> </w:t>
      </w:r>
      <w:hyperlink r:id="rId64" w:history="1">
        <w:r>
          <w:rPr>
            <w:rStyle w:val="Hyperlink"/>
          </w:rPr>
          <w:t>Independent review of drugs by Professor Dame Carol Black - GOV.UK (www.gov.uk)</w:t>
        </w:r>
      </w:hyperlink>
    </w:p>
  </w:footnote>
  <w:footnote w:id="71">
    <w:p w14:paraId="1BDBB77D" w14:textId="6AE1E63B" w:rsidR="00C03AB4" w:rsidRDefault="00C03AB4">
      <w:pPr>
        <w:pStyle w:val="FootnoteText"/>
      </w:pPr>
      <w:r>
        <w:rPr>
          <w:rStyle w:val="FootnoteReference"/>
        </w:rPr>
        <w:footnoteRef/>
      </w:r>
      <w:r>
        <w:t xml:space="preserve"> </w:t>
      </w:r>
      <w:hyperlink r:id="rId65" w:history="1">
        <w:r>
          <w:rPr>
            <w:rStyle w:val="Hyperlink"/>
          </w:rPr>
          <w:t>Review of drugs part two: prevention, treatment, and recovery - GOV.UK (www.gov.uk)</w:t>
        </w:r>
      </w:hyperlink>
    </w:p>
  </w:footnote>
  <w:footnote w:id="72">
    <w:p w14:paraId="7E806629" w14:textId="608B097D" w:rsidR="0056214C" w:rsidRDefault="0056214C">
      <w:pPr>
        <w:pStyle w:val="FootnoteText"/>
      </w:pPr>
      <w:r>
        <w:rPr>
          <w:rStyle w:val="FootnoteReference"/>
        </w:rPr>
        <w:footnoteRef/>
      </w:r>
      <w:r>
        <w:t xml:space="preserve"> </w:t>
      </w:r>
      <w:hyperlink r:id="rId66" w:anchor="list-of-recommendations" w:history="1">
        <w:r>
          <w:rPr>
            <w:rStyle w:val="Hyperlink"/>
          </w:rPr>
          <w:t>Review of drugs part two: prevention, treatment, and recovery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A33C" w14:textId="3DCB2283" w:rsidR="00886045" w:rsidRDefault="00886045" w:rsidP="00F7649A">
    <w:pPr>
      <w:ind w:right="-1"/>
      <w:jc w:val="center"/>
    </w:pPr>
    <w:r>
      <w:rPr>
        <w:i/>
      </w:rPr>
      <w:t xml:space="preserve">This document relates to the </w:t>
    </w:r>
    <w:r w:rsidR="0032201B">
      <w:rPr>
        <w:i/>
      </w:rPr>
      <w:t xml:space="preserve">Right to Addiction Recovery (Scotland) </w:t>
    </w:r>
    <w:r>
      <w:rPr>
        <w:i/>
      </w:rPr>
      <w:t xml:space="preserve">Bill (SP Bill </w:t>
    </w:r>
    <w:r>
      <w:rPr>
        <w:i/>
      </w:rPr>
      <w:fldChar w:fldCharType="begin"/>
    </w:r>
    <w:r>
      <w:rPr>
        <w:i/>
      </w:rPr>
      <w:instrText xml:space="preserve"> DOCPROPERTY "Bill Number"  \* MERGEFORMAT </w:instrText>
    </w:r>
    <w:r>
      <w:rPr>
        <w:i/>
      </w:rPr>
      <w:fldChar w:fldCharType="separate"/>
    </w:r>
    <w:r w:rsidR="00357BEF">
      <w:rPr>
        <w:i/>
      </w:rPr>
      <w:t>&lt;Bill Number&gt;</w:t>
    </w:r>
    <w:r>
      <w:rPr>
        <w:i/>
      </w:rPr>
      <w:fldChar w:fldCharType="end"/>
    </w:r>
    <w:r>
      <w:rPr>
        <w:i/>
      </w:rPr>
      <w:t xml:space="preserve">) as introduced in the Scottish Parliament on </w:t>
    </w:r>
    <w:r w:rsidR="6007B2DF" w:rsidRPr="6007B2DF">
      <w:rPr>
        <w:i/>
        <w:iCs/>
      </w:rPr>
      <w:t>14</w:t>
    </w:r>
    <w:r w:rsidR="0032201B">
      <w:rPr>
        <w:i/>
      </w:rPr>
      <w:t xml:space="preserve"> May 2024</w:t>
    </w:r>
  </w:p>
  <w:p w14:paraId="7DA02962" w14:textId="77777777" w:rsidR="00886045" w:rsidRDefault="00886045">
    <w:pPr>
      <w:pStyle w:val="Header"/>
    </w:pPr>
  </w:p>
  <w:p w14:paraId="046086B9" w14:textId="77777777" w:rsidR="00886045" w:rsidRDefault="00886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D3B7" w14:textId="20E6841A" w:rsidR="00886045" w:rsidRDefault="00886045" w:rsidP="005C191C">
    <w:pPr>
      <w:ind w:right="-1"/>
      <w:jc w:val="center"/>
    </w:pPr>
    <w:r>
      <w:rPr>
        <w:i/>
      </w:rPr>
      <w:t xml:space="preserve">This document relates to the </w:t>
    </w:r>
    <w:r w:rsidR="0032201B">
      <w:rPr>
        <w:i/>
      </w:rPr>
      <w:t>Right to Addiction Recovery (Scotland)</w:t>
    </w:r>
    <w:r>
      <w:rPr>
        <w:i/>
      </w:rPr>
      <w:t xml:space="preserve"> Bill (SP Bill </w:t>
    </w:r>
    <w:r>
      <w:rPr>
        <w:i/>
      </w:rPr>
      <w:fldChar w:fldCharType="begin"/>
    </w:r>
    <w:r>
      <w:rPr>
        <w:i/>
      </w:rPr>
      <w:instrText xml:space="preserve"> DOCPROPERTY "Bill Number"  \* MERGEFORMAT </w:instrText>
    </w:r>
    <w:r>
      <w:rPr>
        <w:i/>
      </w:rPr>
      <w:fldChar w:fldCharType="separate"/>
    </w:r>
    <w:r w:rsidR="00357BEF">
      <w:rPr>
        <w:i/>
      </w:rPr>
      <w:t>&lt;Bill Number&gt;</w:t>
    </w:r>
    <w:r>
      <w:rPr>
        <w:i/>
      </w:rPr>
      <w:fldChar w:fldCharType="end"/>
    </w:r>
    <w:r>
      <w:rPr>
        <w:i/>
      </w:rPr>
      <w:t xml:space="preserve">) as introduced in the Scottish Parliament on </w:t>
    </w:r>
    <w:r w:rsidR="00D9338B" w:rsidRPr="00CA2D8F">
      <w:rPr>
        <w:i/>
      </w:rPr>
      <w:t>14</w:t>
    </w:r>
    <w:r w:rsidR="0032201B">
      <w:rPr>
        <w:i/>
      </w:rPr>
      <w:t xml:space="preserve"> May 2024</w:t>
    </w:r>
  </w:p>
  <w:p w14:paraId="2598B4AD" w14:textId="77777777" w:rsidR="00886045" w:rsidRDefault="00886045">
    <w:pPr>
      <w:pStyle w:val="Header"/>
    </w:pPr>
  </w:p>
  <w:p w14:paraId="6E58163B" w14:textId="77777777" w:rsidR="00886045" w:rsidRDefault="00886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B68A" w14:textId="73FDF172" w:rsidR="00F7649A" w:rsidRDefault="00F7649A" w:rsidP="00F7649A">
    <w:pPr>
      <w:ind w:right="-1"/>
      <w:jc w:val="center"/>
    </w:pPr>
    <w:r>
      <w:rPr>
        <w:i/>
      </w:rPr>
      <w:t>Th</w:t>
    </w:r>
    <w:r w:rsidR="00AC2525">
      <w:rPr>
        <w:i/>
      </w:rPr>
      <w:t>is</w:t>
    </w:r>
    <w:r>
      <w:rPr>
        <w:i/>
      </w:rPr>
      <w:t xml:space="preserve"> document relate</w:t>
    </w:r>
    <w:r w:rsidR="00AC2525">
      <w:rPr>
        <w:i/>
      </w:rPr>
      <w:t>s</w:t>
    </w:r>
    <w:r>
      <w:rPr>
        <w:i/>
      </w:rPr>
      <w:t xml:space="preserve"> to </w:t>
    </w:r>
    <w:r w:rsidR="007C3A15">
      <w:rPr>
        <w:i/>
      </w:rPr>
      <w:t>the Right to Addiction Recovery (Scotland)</w:t>
    </w:r>
    <w:r>
      <w:rPr>
        <w:i/>
      </w:rPr>
      <w:t xml:space="preserve"> Bill (SP Bill </w:t>
    </w:r>
    <w:r>
      <w:rPr>
        <w:i/>
      </w:rPr>
      <w:fldChar w:fldCharType="begin"/>
    </w:r>
    <w:r>
      <w:rPr>
        <w:i/>
      </w:rPr>
      <w:instrText xml:space="preserve"> DOCPROPERTY "Bill Number"  \* MERGEFORMAT </w:instrText>
    </w:r>
    <w:r>
      <w:rPr>
        <w:i/>
      </w:rPr>
      <w:fldChar w:fldCharType="separate"/>
    </w:r>
    <w:r w:rsidR="00357BEF">
      <w:rPr>
        <w:i/>
      </w:rPr>
      <w:t>&lt;Bill Number&gt;</w:t>
    </w:r>
    <w:r>
      <w:rPr>
        <w:i/>
      </w:rPr>
      <w:fldChar w:fldCharType="end"/>
    </w:r>
    <w:r>
      <w:rPr>
        <w:i/>
      </w:rPr>
      <w:t xml:space="preserve">) as introduced in the Scottish Parliament on </w:t>
    </w:r>
    <w:r w:rsidR="007C3A15" w:rsidRPr="001823DC">
      <w:rPr>
        <w:i/>
      </w:rPr>
      <w:t>1</w:t>
    </w:r>
    <w:r w:rsidR="005F74C0" w:rsidRPr="001823DC">
      <w:rPr>
        <w:i/>
      </w:rPr>
      <w:t>4</w:t>
    </w:r>
    <w:r w:rsidR="007C3A15">
      <w:rPr>
        <w:i/>
      </w:rPr>
      <w:t xml:space="preserve"> May 2024</w:t>
    </w:r>
  </w:p>
  <w:p w14:paraId="4633B0B0" w14:textId="77777777" w:rsidR="00F7649A" w:rsidRDefault="00F7649A">
    <w:pPr>
      <w:pStyle w:val="Header"/>
    </w:pPr>
  </w:p>
  <w:p w14:paraId="480E20A3" w14:textId="77777777" w:rsidR="00BA67FB" w:rsidRDefault="00BA6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B3CF"/>
    <w:multiLevelType w:val="hybridMultilevel"/>
    <w:tmpl w:val="FFFFFFFF"/>
    <w:lvl w:ilvl="0" w:tplc="B5480544">
      <w:start w:val="1"/>
      <w:numFmt w:val="decimal"/>
      <w:lvlText w:val="%1."/>
      <w:lvlJc w:val="left"/>
      <w:pPr>
        <w:ind w:left="720" w:hanging="360"/>
      </w:pPr>
    </w:lvl>
    <w:lvl w:ilvl="1" w:tplc="4FCCB758">
      <w:start w:val="1"/>
      <w:numFmt w:val="lowerLetter"/>
      <w:lvlText w:val="%2."/>
      <w:lvlJc w:val="left"/>
      <w:pPr>
        <w:ind w:left="1440" w:hanging="360"/>
      </w:pPr>
    </w:lvl>
    <w:lvl w:ilvl="2" w:tplc="228CB0D8">
      <w:start w:val="1"/>
      <w:numFmt w:val="lowerRoman"/>
      <w:lvlText w:val="%3."/>
      <w:lvlJc w:val="right"/>
      <w:pPr>
        <w:ind w:left="2160" w:hanging="180"/>
      </w:pPr>
    </w:lvl>
    <w:lvl w:ilvl="3" w:tplc="B9CC5870">
      <w:start w:val="1"/>
      <w:numFmt w:val="decimal"/>
      <w:lvlText w:val="%4."/>
      <w:lvlJc w:val="left"/>
      <w:pPr>
        <w:ind w:left="2880" w:hanging="360"/>
      </w:pPr>
    </w:lvl>
    <w:lvl w:ilvl="4" w:tplc="252A3EDE">
      <w:start w:val="1"/>
      <w:numFmt w:val="lowerLetter"/>
      <w:lvlText w:val="%5."/>
      <w:lvlJc w:val="left"/>
      <w:pPr>
        <w:ind w:left="3600" w:hanging="360"/>
      </w:pPr>
    </w:lvl>
    <w:lvl w:ilvl="5" w:tplc="1E2CF96A">
      <w:start w:val="1"/>
      <w:numFmt w:val="lowerRoman"/>
      <w:lvlText w:val="%6."/>
      <w:lvlJc w:val="right"/>
      <w:pPr>
        <w:ind w:left="4320" w:hanging="180"/>
      </w:pPr>
    </w:lvl>
    <w:lvl w:ilvl="6" w:tplc="10667A5C">
      <w:start w:val="1"/>
      <w:numFmt w:val="decimal"/>
      <w:lvlText w:val="%7."/>
      <w:lvlJc w:val="left"/>
      <w:pPr>
        <w:ind w:left="5040" w:hanging="360"/>
      </w:pPr>
    </w:lvl>
    <w:lvl w:ilvl="7" w:tplc="B1B2651A">
      <w:start w:val="1"/>
      <w:numFmt w:val="lowerLetter"/>
      <w:lvlText w:val="%8."/>
      <w:lvlJc w:val="left"/>
      <w:pPr>
        <w:ind w:left="5760" w:hanging="360"/>
      </w:pPr>
    </w:lvl>
    <w:lvl w:ilvl="8" w:tplc="1C0071DC">
      <w:start w:val="1"/>
      <w:numFmt w:val="lowerRoman"/>
      <w:lvlText w:val="%9."/>
      <w:lvlJc w:val="right"/>
      <w:pPr>
        <w:ind w:left="6480" w:hanging="180"/>
      </w:pPr>
    </w:lvl>
  </w:abstractNum>
  <w:abstractNum w:abstractNumId="1" w15:restartNumberingAfterBreak="0">
    <w:nsid w:val="05053335"/>
    <w:multiLevelType w:val="hybridMultilevel"/>
    <w:tmpl w:val="87AC573C"/>
    <w:lvl w:ilvl="0" w:tplc="10CA53CC">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6BA2AEE"/>
    <w:multiLevelType w:val="multilevel"/>
    <w:tmpl w:val="72AA6B90"/>
    <w:lvl w:ilvl="0">
      <w:start w:val="1"/>
      <w:numFmt w:val="decimal"/>
      <w:pStyle w:val="BillADPara"/>
      <w:lvlText w:val="%1."/>
      <w:lvlJc w:val="left"/>
      <w:pPr>
        <w:tabs>
          <w:tab w:val="num" w:pos="709"/>
        </w:tabs>
        <w:ind w:left="0" w:firstLine="0"/>
      </w:pPr>
      <w:rPr>
        <w:i w:val="0"/>
        <w:iCs w:val="0"/>
      </w:rPr>
    </w:lvl>
    <w:lvl w:ilvl="1">
      <w:start w:val="1"/>
      <w:numFmt w:val="lowerLetter"/>
      <w:lvlText w:val="%2)"/>
      <w:lvlJc w:val="left"/>
      <w:pPr>
        <w:ind w:left="-131" w:hanging="360"/>
      </w:pPr>
      <w:rPr>
        <w:rFonts w:hint="default"/>
      </w:rPr>
    </w:lvl>
    <w:lvl w:ilvl="2">
      <w:start w:val="1"/>
      <w:numFmt w:val="lowerRoman"/>
      <w:lvlText w:val="%3)"/>
      <w:lvlJc w:val="left"/>
      <w:pPr>
        <w:ind w:left="229" w:hanging="360"/>
      </w:pPr>
      <w:rPr>
        <w:rFonts w:hint="default"/>
      </w:rPr>
    </w:lvl>
    <w:lvl w:ilvl="3">
      <w:start w:val="1"/>
      <w:numFmt w:val="decimal"/>
      <w:lvlText w:val="(%4)"/>
      <w:lvlJc w:val="left"/>
      <w:pPr>
        <w:ind w:left="589" w:hanging="360"/>
      </w:pPr>
      <w:rPr>
        <w:rFonts w:hint="default"/>
      </w:rPr>
    </w:lvl>
    <w:lvl w:ilvl="4">
      <w:start w:val="1"/>
      <w:numFmt w:val="lowerLetter"/>
      <w:lvlText w:val="(%5)"/>
      <w:lvlJc w:val="left"/>
      <w:pPr>
        <w:ind w:left="949" w:hanging="360"/>
      </w:pPr>
      <w:rPr>
        <w:rFonts w:hint="default"/>
      </w:rPr>
    </w:lvl>
    <w:lvl w:ilvl="5">
      <w:start w:val="1"/>
      <w:numFmt w:val="lowerRoman"/>
      <w:lvlText w:val="(%6)"/>
      <w:lvlJc w:val="left"/>
      <w:pPr>
        <w:ind w:left="1309" w:hanging="360"/>
      </w:pPr>
      <w:rPr>
        <w:rFonts w:hint="default"/>
      </w:rPr>
    </w:lvl>
    <w:lvl w:ilvl="6">
      <w:start w:val="1"/>
      <w:numFmt w:val="decimal"/>
      <w:lvlText w:val="%7."/>
      <w:lvlJc w:val="left"/>
      <w:pPr>
        <w:ind w:left="1669" w:hanging="360"/>
      </w:pPr>
      <w:rPr>
        <w:rFonts w:hint="default"/>
      </w:rPr>
    </w:lvl>
    <w:lvl w:ilvl="7">
      <w:start w:val="1"/>
      <w:numFmt w:val="lowerLetter"/>
      <w:lvlText w:val="%8."/>
      <w:lvlJc w:val="left"/>
      <w:pPr>
        <w:ind w:left="2029" w:hanging="360"/>
      </w:pPr>
      <w:rPr>
        <w:rFonts w:hint="default"/>
      </w:rPr>
    </w:lvl>
    <w:lvl w:ilvl="8">
      <w:start w:val="1"/>
      <w:numFmt w:val="lowerRoman"/>
      <w:lvlText w:val="%9."/>
      <w:lvlJc w:val="left"/>
      <w:pPr>
        <w:ind w:left="2389" w:hanging="360"/>
      </w:pPr>
      <w:rPr>
        <w:rFonts w:hint="default"/>
      </w:rPr>
    </w:lvl>
  </w:abstractNum>
  <w:abstractNum w:abstractNumId="3" w15:restartNumberingAfterBreak="0">
    <w:nsid w:val="0B4A4F39"/>
    <w:multiLevelType w:val="singleLevel"/>
    <w:tmpl w:val="E54E95CE"/>
    <w:lvl w:ilvl="0">
      <w:start w:val="1"/>
      <w:numFmt w:val="none"/>
      <w:lvlText w:val=""/>
      <w:legacy w:legacy="1" w:legacySpace="0" w:legacyIndent="0"/>
      <w:lvlJc w:val="left"/>
    </w:lvl>
  </w:abstractNum>
  <w:abstractNum w:abstractNumId="4" w15:restartNumberingAfterBreak="0">
    <w:nsid w:val="0B5E57E8"/>
    <w:multiLevelType w:val="singleLevel"/>
    <w:tmpl w:val="C3C6F4E2"/>
    <w:lvl w:ilvl="0">
      <w:start w:val="1"/>
      <w:numFmt w:val="lowerLetter"/>
      <w:pStyle w:val="BillADSubPara"/>
      <w:lvlText w:val="(%1)"/>
      <w:lvlJc w:val="left"/>
      <w:pPr>
        <w:tabs>
          <w:tab w:val="num" w:pos="360"/>
        </w:tabs>
        <w:ind w:left="360" w:hanging="360"/>
      </w:pPr>
    </w:lvl>
  </w:abstractNum>
  <w:abstractNum w:abstractNumId="5" w15:restartNumberingAfterBreak="0">
    <w:nsid w:val="0B7B1AFD"/>
    <w:multiLevelType w:val="hybridMultilevel"/>
    <w:tmpl w:val="FFFFFFFF"/>
    <w:lvl w:ilvl="0" w:tplc="3A02F1D8">
      <w:start w:val="1"/>
      <w:numFmt w:val="decimal"/>
      <w:lvlText w:val="%1."/>
      <w:lvlJc w:val="left"/>
      <w:pPr>
        <w:ind w:left="720" w:hanging="360"/>
      </w:pPr>
    </w:lvl>
    <w:lvl w:ilvl="1" w:tplc="ADB0EC82">
      <w:start w:val="1"/>
      <w:numFmt w:val="lowerLetter"/>
      <w:lvlText w:val="%2."/>
      <w:lvlJc w:val="left"/>
      <w:pPr>
        <w:ind w:left="1440" w:hanging="360"/>
      </w:pPr>
    </w:lvl>
    <w:lvl w:ilvl="2" w:tplc="BF00D5C2">
      <w:start w:val="1"/>
      <w:numFmt w:val="lowerRoman"/>
      <w:lvlText w:val="%3."/>
      <w:lvlJc w:val="right"/>
      <w:pPr>
        <w:ind w:left="2160" w:hanging="180"/>
      </w:pPr>
    </w:lvl>
    <w:lvl w:ilvl="3" w:tplc="351CEA32">
      <w:start w:val="1"/>
      <w:numFmt w:val="decimal"/>
      <w:lvlText w:val="%4."/>
      <w:lvlJc w:val="left"/>
      <w:pPr>
        <w:ind w:left="2880" w:hanging="360"/>
      </w:pPr>
    </w:lvl>
    <w:lvl w:ilvl="4" w:tplc="2976F05A">
      <w:start w:val="1"/>
      <w:numFmt w:val="lowerLetter"/>
      <w:lvlText w:val="%5."/>
      <w:lvlJc w:val="left"/>
      <w:pPr>
        <w:ind w:left="3600" w:hanging="360"/>
      </w:pPr>
    </w:lvl>
    <w:lvl w:ilvl="5" w:tplc="3530F0FC">
      <w:start w:val="1"/>
      <w:numFmt w:val="lowerRoman"/>
      <w:lvlText w:val="%6."/>
      <w:lvlJc w:val="right"/>
      <w:pPr>
        <w:ind w:left="4320" w:hanging="180"/>
      </w:pPr>
    </w:lvl>
    <w:lvl w:ilvl="6" w:tplc="8A788F8C">
      <w:start w:val="1"/>
      <w:numFmt w:val="decimal"/>
      <w:lvlText w:val="%7."/>
      <w:lvlJc w:val="left"/>
      <w:pPr>
        <w:ind w:left="5040" w:hanging="360"/>
      </w:pPr>
    </w:lvl>
    <w:lvl w:ilvl="7" w:tplc="7ACEA502">
      <w:start w:val="1"/>
      <w:numFmt w:val="lowerLetter"/>
      <w:lvlText w:val="%8."/>
      <w:lvlJc w:val="left"/>
      <w:pPr>
        <w:ind w:left="5760" w:hanging="360"/>
      </w:pPr>
    </w:lvl>
    <w:lvl w:ilvl="8" w:tplc="A7CE18FC">
      <w:start w:val="1"/>
      <w:numFmt w:val="lowerRoman"/>
      <w:lvlText w:val="%9."/>
      <w:lvlJc w:val="right"/>
      <w:pPr>
        <w:ind w:left="6480" w:hanging="180"/>
      </w:pPr>
    </w:lvl>
  </w:abstractNum>
  <w:abstractNum w:abstractNumId="6" w15:restartNumberingAfterBreak="0">
    <w:nsid w:val="0C0DB570"/>
    <w:multiLevelType w:val="hybridMultilevel"/>
    <w:tmpl w:val="FFFFFFFF"/>
    <w:lvl w:ilvl="0" w:tplc="A8CAFB02">
      <w:start w:val="1"/>
      <w:numFmt w:val="decimal"/>
      <w:lvlText w:val="%1."/>
      <w:lvlJc w:val="left"/>
      <w:pPr>
        <w:ind w:left="720" w:hanging="360"/>
      </w:pPr>
    </w:lvl>
    <w:lvl w:ilvl="1" w:tplc="024437E6">
      <w:start w:val="1"/>
      <w:numFmt w:val="lowerLetter"/>
      <w:lvlText w:val="%2."/>
      <w:lvlJc w:val="left"/>
      <w:pPr>
        <w:ind w:left="1440" w:hanging="360"/>
      </w:pPr>
    </w:lvl>
    <w:lvl w:ilvl="2" w:tplc="C520DA16">
      <w:start w:val="1"/>
      <w:numFmt w:val="lowerRoman"/>
      <w:lvlText w:val="%3."/>
      <w:lvlJc w:val="right"/>
      <w:pPr>
        <w:ind w:left="2160" w:hanging="180"/>
      </w:pPr>
    </w:lvl>
    <w:lvl w:ilvl="3" w:tplc="0C5C7DF0">
      <w:start w:val="1"/>
      <w:numFmt w:val="decimal"/>
      <w:lvlText w:val="%4."/>
      <w:lvlJc w:val="left"/>
      <w:pPr>
        <w:ind w:left="2880" w:hanging="360"/>
      </w:pPr>
    </w:lvl>
    <w:lvl w:ilvl="4" w:tplc="031ED7EA">
      <w:start w:val="1"/>
      <w:numFmt w:val="lowerLetter"/>
      <w:lvlText w:val="%5."/>
      <w:lvlJc w:val="left"/>
      <w:pPr>
        <w:ind w:left="3600" w:hanging="360"/>
      </w:pPr>
    </w:lvl>
    <w:lvl w:ilvl="5" w:tplc="A3B49F98">
      <w:start w:val="1"/>
      <w:numFmt w:val="lowerRoman"/>
      <w:lvlText w:val="%6."/>
      <w:lvlJc w:val="right"/>
      <w:pPr>
        <w:ind w:left="4320" w:hanging="180"/>
      </w:pPr>
    </w:lvl>
    <w:lvl w:ilvl="6" w:tplc="236AE938">
      <w:start w:val="1"/>
      <w:numFmt w:val="decimal"/>
      <w:lvlText w:val="%7."/>
      <w:lvlJc w:val="left"/>
      <w:pPr>
        <w:ind w:left="5040" w:hanging="360"/>
      </w:pPr>
    </w:lvl>
    <w:lvl w:ilvl="7" w:tplc="A9DAB232">
      <w:start w:val="1"/>
      <w:numFmt w:val="lowerLetter"/>
      <w:lvlText w:val="%8."/>
      <w:lvlJc w:val="left"/>
      <w:pPr>
        <w:ind w:left="5760" w:hanging="360"/>
      </w:pPr>
    </w:lvl>
    <w:lvl w:ilvl="8" w:tplc="982EA654">
      <w:start w:val="1"/>
      <w:numFmt w:val="lowerRoman"/>
      <w:lvlText w:val="%9."/>
      <w:lvlJc w:val="right"/>
      <w:pPr>
        <w:ind w:left="6480" w:hanging="180"/>
      </w:pPr>
    </w:lvl>
  </w:abstractNum>
  <w:abstractNum w:abstractNumId="7" w15:restartNumberingAfterBreak="0">
    <w:nsid w:val="13AD3850"/>
    <w:multiLevelType w:val="hybridMultilevel"/>
    <w:tmpl w:val="FFFFFFFF"/>
    <w:lvl w:ilvl="0" w:tplc="261C8190">
      <w:start w:val="1"/>
      <w:numFmt w:val="decimal"/>
      <w:lvlText w:val="%1."/>
      <w:lvlJc w:val="left"/>
      <w:pPr>
        <w:ind w:left="720" w:hanging="360"/>
      </w:pPr>
    </w:lvl>
    <w:lvl w:ilvl="1" w:tplc="DAC42A54">
      <w:start w:val="1"/>
      <w:numFmt w:val="lowerLetter"/>
      <w:lvlText w:val="%2."/>
      <w:lvlJc w:val="left"/>
      <w:pPr>
        <w:ind w:left="1440" w:hanging="360"/>
      </w:pPr>
    </w:lvl>
    <w:lvl w:ilvl="2" w:tplc="2518957E">
      <w:start w:val="1"/>
      <w:numFmt w:val="lowerRoman"/>
      <w:lvlText w:val="%3."/>
      <w:lvlJc w:val="right"/>
      <w:pPr>
        <w:ind w:left="2160" w:hanging="180"/>
      </w:pPr>
    </w:lvl>
    <w:lvl w:ilvl="3" w:tplc="ABB82C34">
      <w:start w:val="1"/>
      <w:numFmt w:val="decimal"/>
      <w:lvlText w:val="%4."/>
      <w:lvlJc w:val="left"/>
      <w:pPr>
        <w:ind w:left="2880" w:hanging="360"/>
      </w:pPr>
    </w:lvl>
    <w:lvl w:ilvl="4" w:tplc="0C0C6848">
      <w:start w:val="1"/>
      <w:numFmt w:val="lowerLetter"/>
      <w:lvlText w:val="%5."/>
      <w:lvlJc w:val="left"/>
      <w:pPr>
        <w:ind w:left="3600" w:hanging="360"/>
      </w:pPr>
    </w:lvl>
    <w:lvl w:ilvl="5" w:tplc="3394FDD8">
      <w:start w:val="1"/>
      <w:numFmt w:val="lowerRoman"/>
      <w:lvlText w:val="%6."/>
      <w:lvlJc w:val="right"/>
      <w:pPr>
        <w:ind w:left="4320" w:hanging="180"/>
      </w:pPr>
    </w:lvl>
    <w:lvl w:ilvl="6" w:tplc="1244002A">
      <w:start w:val="1"/>
      <w:numFmt w:val="decimal"/>
      <w:lvlText w:val="%7."/>
      <w:lvlJc w:val="left"/>
      <w:pPr>
        <w:ind w:left="5040" w:hanging="360"/>
      </w:pPr>
    </w:lvl>
    <w:lvl w:ilvl="7" w:tplc="C64C0E5C">
      <w:start w:val="1"/>
      <w:numFmt w:val="lowerLetter"/>
      <w:lvlText w:val="%8."/>
      <w:lvlJc w:val="left"/>
      <w:pPr>
        <w:ind w:left="5760" w:hanging="360"/>
      </w:pPr>
    </w:lvl>
    <w:lvl w:ilvl="8" w:tplc="643E2A3E">
      <w:start w:val="1"/>
      <w:numFmt w:val="lowerRoman"/>
      <w:lvlText w:val="%9."/>
      <w:lvlJc w:val="right"/>
      <w:pPr>
        <w:ind w:left="6480" w:hanging="180"/>
      </w:pPr>
    </w:lvl>
  </w:abstractNum>
  <w:abstractNum w:abstractNumId="8" w15:restartNumberingAfterBreak="0">
    <w:nsid w:val="15128C42"/>
    <w:multiLevelType w:val="hybridMultilevel"/>
    <w:tmpl w:val="FFFFFFFF"/>
    <w:lvl w:ilvl="0" w:tplc="BC9E684A">
      <w:start w:val="1"/>
      <w:numFmt w:val="decimal"/>
      <w:lvlText w:val="%1."/>
      <w:lvlJc w:val="left"/>
      <w:pPr>
        <w:ind w:left="720" w:hanging="360"/>
      </w:pPr>
    </w:lvl>
    <w:lvl w:ilvl="1" w:tplc="69EE2778">
      <w:start w:val="1"/>
      <w:numFmt w:val="lowerLetter"/>
      <w:lvlText w:val="%2."/>
      <w:lvlJc w:val="left"/>
      <w:pPr>
        <w:ind w:left="1440" w:hanging="360"/>
      </w:pPr>
    </w:lvl>
    <w:lvl w:ilvl="2" w:tplc="948A0AF6">
      <w:start w:val="1"/>
      <w:numFmt w:val="lowerRoman"/>
      <w:lvlText w:val="%3."/>
      <w:lvlJc w:val="right"/>
      <w:pPr>
        <w:ind w:left="2160" w:hanging="180"/>
      </w:pPr>
    </w:lvl>
    <w:lvl w:ilvl="3" w:tplc="D0804922">
      <w:start w:val="1"/>
      <w:numFmt w:val="decimal"/>
      <w:lvlText w:val="%4."/>
      <w:lvlJc w:val="left"/>
      <w:pPr>
        <w:ind w:left="2880" w:hanging="360"/>
      </w:pPr>
    </w:lvl>
    <w:lvl w:ilvl="4" w:tplc="17EAF2EA">
      <w:start w:val="1"/>
      <w:numFmt w:val="lowerLetter"/>
      <w:lvlText w:val="%5."/>
      <w:lvlJc w:val="left"/>
      <w:pPr>
        <w:ind w:left="3600" w:hanging="360"/>
      </w:pPr>
    </w:lvl>
    <w:lvl w:ilvl="5" w:tplc="B920B034">
      <w:start w:val="1"/>
      <w:numFmt w:val="lowerRoman"/>
      <w:lvlText w:val="%6."/>
      <w:lvlJc w:val="right"/>
      <w:pPr>
        <w:ind w:left="4320" w:hanging="180"/>
      </w:pPr>
    </w:lvl>
    <w:lvl w:ilvl="6" w:tplc="3820A752">
      <w:start w:val="1"/>
      <w:numFmt w:val="decimal"/>
      <w:lvlText w:val="%7."/>
      <w:lvlJc w:val="left"/>
      <w:pPr>
        <w:ind w:left="5040" w:hanging="360"/>
      </w:pPr>
    </w:lvl>
    <w:lvl w:ilvl="7" w:tplc="68A4D5D0">
      <w:start w:val="1"/>
      <w:numFmt w:val="lowerLetter"/>
      <w:lvlText w:val="%8."/>
      <w:lvlJc w:val="left"/>
      <w:pPr>
        <w:ind w:left="5760" w:hanging="360"/>
      </w:pPr>
    </w:lvl>
    <w:lvl w:ilvl="8" w:tplc="442C98AA">
      <w:start w:val="1"/>
      <w:numFmt w:val="lowerRoman"/>
      <w:lvlText w:val="%9."/>
      <w:lvlJc w:val="right"/>
      <w:pPr>
        <w:ind w:left="6480" w:hanging="180"/>
      </w:pPr>
    </w:lvl>
  </w:abstractNum>
  <w:abstractNum w:abstractNumId="9" w15:restartNumberingAfterBreak="0">
    <w:nsid w:val="1826280D"/>
    <w:multiLevelType w:val="hybridMultilevel"/>
    <w:tmpl w:val="580AF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6F775B"/>
    <w:multiLevelType w:val="hybridMultilevel"/>
    <w:tmpl w:val="FFFFFFFF"/>
    <w:lvl w:ilvl="0" w:tplc="7B9EE8EC">
      <w:start w:val="1"/>
      <w:numFmt w:val="decimal"/>
      <w:lvlText w:val="%1."/>
      <w:lvlJc w:val="left"/>
      <w:pPr>
        <w:ind w:left="720" w:hanging="360"/>
      </w:pPr>
    </w:lvl>
    <w:lvl w:ilvl="1" w:tplc="3EEC6A48">
      <w:start w:val="1"/>
      <w:numFmt w:val="lowerLetter"/>
      <w:lvlText w:val="%2."/>
      <w:lvlJc w:val="left"/>
      <w:pPr>
        <w:ind w:left="1440" w:hanging="360"/>
      </w:pPr>
    </w:lvl>
    <w:lvl w:ilvl="2" w:tplc="BC2A1908">
      <w:start w:val="1"/>
      <w:numFmt w:val="lowerRoman"/>
      <w:lvlText w:val="%3."/>
      <w:lvlJc w:val="right"/>
      <w:pPr>
        <w:ind w:left="2160" w:hanging="180"/>
      </w:pPr>
    </w:lvl>
    <w:lvl w:ilvl="3" w:tplc="B456E8BE">
      <w:start w:val="1"/>
      <w:numFmt w:val="decimal"/>
      <w:lvlText w:val="%4."/>
      <w:lvlJc w:val="left"/>
      <w:pPr>
        <w:ind w:left="2880" w:hanging="360"/>
      </w:pPr>
    </w:lvl>
    <w:lvl w:ilvl="4" w:tplc="570CE622">
      <w:start w:val="1"/>
      <w:numFmt w:val="lowerLetter"/>
      <w:lvlText w:val="%5."/>
      <w:lvlJc w:val="left"/>
      <w:pPr>
        <w:ind w:left="3600" w:hanging="360"/>
      </w:pPr>
    </w:lvl>
    <w:lvl w:ilvl="5" w:tplc="55DA1C52">
      <w:start w:val="1"/>
      <w:numFmt w:val="lowerRoman"/>
      <w:lvlText w:val="%6."/>
      <w:lvlJc w:val="right"/>
      <w:pPr>
        <w:ind w:left="4320" w:hanging="180"/>
      </w:pPr>
    </w:lvl>
    <w:lvl w:ilvl="6" w:tplc="D01A0418">
      <w:start w:val="1"/>
      <w:numFmt w:val="decimal"/>
      <w:lvlText w:val="%7."/>
      <w:lvlJc w:val="left"/>
      <w:pPr>
        <w:ind w:left="5040" w:hanging="360"/>
      </w:pPr>
    </w:lvl>
    <w:lvl w:ilvl="7" w:tplc="569613FA">
      <w:start w:val="1"/>
      <w:numFmt w:val="lowerLetter"/>
      <w:lvlText w:val="%8."/>
      <w:lvlJc w:val="left"/>
      <w:pPr>
        <w:ind w:left="5760" w:hanging="360"/>
      </w:pPr>
    </w:lvl>
    <w:lvl w:ilvl="8" w:tplc="B0F8CFAA">
      <w:start w:val="1"/>
      <w:numFmt w:val="lowerRoman"/>
      <w:lvlText w:val="%9."/>
      <w:lvlJc w:val="right"/>
      <w:pPr>
        <w:ind w:left="6480" w:hanging="180"/>
      </w:pPr>
    </w:lvl>
  </w:abstractNum>
  <w:abstractNum w:abstractNumId="11" w15:restartNumberingAfterBreak="0">
    <w:nsid w:val="1F4F465A"/>
    <w:multiLevelType w:val="hybridMultilevel"/>
    <w:tmpl w:val="FFFFFFFF"/>
    <w:lvl w:ilvl="0" w:tplc="47BC60B8">
      <w:start w:val="1"/>
      <w:numFmt w:val="decimal"/>
      <w:lvlText w:val="%1."/>
      <w:lvlJc w:val="left"/>
      <w:pPr>
        <w:ind w:left="720" w:hanging="360"/>
      </w:pPr>
    </w:lvl>
    <w:lvl w:ilvl="1" w:tplc="FE2ED46E">
      <w:start w:val="1"/>
      <w:numFmt w:val="lowerLetter"/>
      <w:lvlText w:val="%2."/>
      <w:lvlJc w:val="left"/>
      <w:pPr>
        <w:ind w:left="1440" w:hanging="360"/>
      </w:pPr>
    </w:lvl>
    <w:lvl w:ilvl="2" w:tplc="21B21E18">
      <w:start w:val="1"/>
      <w:numFmt w:val="lowerRoman"/>
      <w:lvlText w:val="%3."/>
      <w:lvlJc w:val="right"/>
      <w:pPr>
        <w:ind w:left="2160" w:hanging="180"/>
      </w:pPr>
    </w:lvl>
    <w:lvl w:ilvl="3" w:tplc="E876A698">
      <w:start w:val="1"/>
      <w:numFmt w:val="decimal"/>
      <w:lvlText w:val="%4."/>
      <w:lvlJc w:val="left"/>
      <w:pPr>
        <w:ind w:left="2880" w:hanging="360"/>
      </w:pPr>
    </w:lvl>
    <w:lvl w:ilvl="4" w:tplc="AEE0469A">
      <w:start w:val="1"/>
      <w:numFmt w:val="lowerLetter"/>
      <w:lvlText w:val="%5."/>
      <w:lvlJc w:val="left"/>
      <w:pPr>
        <w:ind w:left="3600" w:hanging="360"/>
      </w:pPr>
    </w:lvl>
    <w:lvl w:ilvl="5" w:tplc="E6CCE5A8">
      <w:start w:val="1"/>
      <w:numFmt w:val="lowerRoman"/>
      <w:lvlText w:val="%6."/>
      <w:lvlJc w:val="right"/>
      <w:pPr>
        <w:ind w:left="4320" w:hanging="180"/>
      </w:pPr>
    </w:lvl>
    <w:lvl w:ilvl="6" w:tplc="1CAEBB96">
      <w:start w:val="1"/>
      <w:numFmt w:val="decimal"/>
      <w:lvlText w:val="%7."/>
      <w:lvlJc w:val="left"/>
      <w:pPr>
        <w:ind w:left="5040" w:hanging="360"/>
      </w:pPr>
    </w:lvl>
    <w:lvl w:ilvl="7" w:tplc="1946F28A">
      <w:start w:val="1"/>
      <w:numFmt w:val="lowerLetter"/>
      <w:lvlText w:val="%8."/>
      <w:lvlJc w:val="left"/>
      <w:pPr>
        <w:ind w:left="5760" w:hanging="360"/>
      </w:pPr>
    </w:lvl>
    <w:lvl w:ilvl="8" w:tplc="61345B22">
      <w:start w:val="1"/>
      <w:numFmt w:val="lowerRoman"/>
      <w:lvlText w:val="%9."/>
      <w:lvlJc w:val="right"/>
      <w:pPr>
        <w:ind w:left="6480" w:hanging="180"/>
      </w:pPr>
    </w:lvl>
  </w:abstractNum>
  <w:abstractNum w:abstractNumId="12" w15:restartNumberingAfterBreak="0">
    <w:nsid w:val="2015C4FC"/>
    <w:multiLevelType w:val="hybridMultilevel"/>
    <w:tmpl w:val="FFFFFFFF"/>
    <w:lvl w:ilvl="0" w:tplc="91DE6592">
      <w:start w:val="1"/>
      <w:numFmt w:val="decimal"/>
      <w:lvlText w:val="%1."/>
      <w:lvlJc w:val="left"/>
      <w:pPr>
        <w:ind w:left="720" w:hanging="360"/>
      </w:pPr>
    </w:lvl>
    <w:lvl w:ilvl="1" w:tplc="1D06EA80">
      <w:start w:val="1"/>
      <w:numFmt w:val="lowerLetter"/>
      <w:lvlText w:val="%2."/>
      <w:lvlJc w:val="left"/>
      <w:pPr>
        <w:ind w:left="1440" w:hanging="360"/>
      </w:pPr>
    </w:lvl>
    <w:lvl w:ilvl="2" w:tplc="EC340CB0">
      <w:start w:val="1"/>
      <w:numFmt w:val="lowerRoman"/>
      <w:lvlText w:val="%3."/>
      <w:lvlJc w:val="right"/>
      <w:pPr>
        <w:ind w:left="2160" w:hanging="180"/>
      </w:pPr>
    </w:lvl>
    <w:lvl w:ilvl="3" w:tplc="3ADA2118">
      <w:start w:val="1"/>
      <w:numFmt w:val="decimal"/>
      <w:lvlText w:val="%4."/>
      <w:lvlJc w:val="left"/>
      <w:pPr>
        <w:ind w:left="2880" w:hanging="360"/>
      </w:pPr>
    </w:lvl>
    <w:lvl w:ilvl="4" w:tplc="E350F11A">
      <w:start w:val="1"/>
      <w:numFmt w:val="lowerLetter"/>
      <w:lvlText w:val="%5."/>
      <w:lvlJc w:val="left"/>
      <w:pPr>
        <w:ind w:left="3600" w:hanging="360"/>
      </w:pPr>
    </w:lvl>
    <w:lvl w:ilvl="5" w:tplc="2AE4F108">
      <w:start w:val="1"/>
      <w:numFmt w:val="lowerRoman"/>
      <w:lvlText w:val="%6."/>
      <w:lvlJc w:val="right"/>
      <w:pPr>
        <w:ind w:left="4320" w:hanging="180"/>
      </w:pPr>
    </w:lvl>
    <w:lvl w:ilvl="6" w:tplc="83F48F2E">
      <w:start w:val="1"/>
      <w:numFmt w:val="decimal"/>
      <w:lvlText w:val="%7."/>
      <w:lvlJc w:val="left"/>
      <w:pPr>
        <w:ind w:left="5040" w:hanging="360"/>
      </w:pPr>
    </w:lvl>
    <w:lvl w:ilvl="7" w:tplc="8236F2CE">
      <w:start w:val="1"/>
      <w:numFmt w:val="lowerLetter"/>
      <w:lvlText w:val="%8."/>
      <w:lvlJc w:val="left"/>
      <w:pPr>
        <w:ind w:left="5760" w:hanging="360"/>
      </w:pPr>
    </w:lvl>
    <w:lvl w:ilvl="8" w:tplc="833E4AEE">
      <w:start w:val="1"/>
      <w:numFmt w:val="lowerRoman"/>
      <w:lvlText w:val="%9."/>
      <w:lvlJc w:val="right"/>
      <w:pPr>
        <w:ind w:left="6480" w:hanging="180"/>
      </w:pPr>
    </w:lvl>
  </w:abstractNum>
  <w:abstractNum w:abstractNumId="13" w15:restartNumberingAfterBreak="0">
    <w:nsid w:val="226CE5CB"/>
    <w:multiLevelType w:val="hybridMultilevel"/>
    <w:tmpl w:val="FFFFFFFF"/>
    <w:lvl w:ilvl="0" w:tplc="3A401760">
      <w:start w:val="1"/>
      <w:numFmt w:val="decimal"/>
      <w:lvlText w:val="%1."/>
      <w:lvlJc w:val="left"/>
      <w:pPr>
        <w:ind w:left="720" w:hanging="360"/>
      </w:pPr>
    </w:lvl>
    <w:lvl w:ilvl="1" w:tplc="3808DB6E">
      <w:start w:val="1"/>
      <w:numFmt w:val="lowerLetter"/>
      <w:lvlText w:val="%2."/>
      <w:lvlJc w:val="left"/>
      <w:pPr>
        <w:ind w:left="1440" w:hanging="360"/>
      </w:pPr>
    </w:lvl>
    <w:lvl w:ilvl="2" w:tplc="AA68DE92">
      <w:start w:val="1"/>
      <w:numFmt w:val="lowerRoman"/>
      <w:lvlText w:val="%3."/>
      <w:lvlJc w:val="right"/>
      <w:pPr>
        <w:ind w:left="2160" w:hanging="180"/>
      </w:pPr>
    </w:lvl>
    <w:lvl w:ilvl="3" w:tplc="41A47DE4">
      <w:start w:val="1"/>
      <w:numFmt w:val="decimal"/>
      <w:lvlText w:val="%4."/>
      <w:lvlJc w:val="left"/>
      <w:pPr>
        <w:ind w:left="2880" w:hanging="360"/>
      </w:pPr>
    </w:lvl>
    <w:lvl w:ilvl="4" w:tplc="F6D01980">
      <w:start w:val="1"/>
      <w:numFmt w:val="lowerLetter"/>
      <w:lvlText w:val="%5."/>
      <w:lvlJc w:val="left"/>
      <w:pPr>
        <w:ind w:left="3600" w:hanging="360"/>
      </w:pPr>
    </w:lvl>
    <w:lvl w:ilvl="5" w:tplc="BCA22008">
      <w:start w:val="1"/>
      <w:numFmt w:val="lowerRoman"/>
      <w:lvlText w:val="%6."/>
      <w:lvlJc w:val="right"/>
      <w:pPr>
        <w:ind w:left="4320" w:hanging="180"/>
      </w:pPr>
    </w:lvl>
    <w:lvl w:ilvl="6" w:tplc="24F2ADE4">
      <w:start w:val="1"/>
      <w:numFmt w:val="decimal"/>
      <w:lvlText w:val="%7."/>
      <w:lvlJc w:val="left"/>
      <w:pPr>
        <w:ind w:left="5040" w:hanging="360"/>
      </w:pPr>
    </w:lvl>
    <w:lvl w:ilvl="7" w:tplc="98C8DD24">
      <w:start w:val="1"/>
      <w:numFmt w:val="lowerLetter"/>
      <w:lvlText w:val="%8."/>
      <w:lvlJc w:val="left"/>
      <w:pPr>
        <w:ind w:left="5760" w:hanging="360"/>
      </w:pPr>
    </w:lvl>
    <w:lvl w:ilvl="8" w:tplc="28803502">
      <w:start w:val="1"/>
      <w:numFmt w:val="lowerRoman"/>
      <w:lvlText w:val="%9."/>
      <w:lvlJc w:val="right"/>
      <w:pPr>
        <w:ind w:left="6480" w:hanging="180"/>
      </w:pPr>
    </w:lvl>
  </w:abstractNum>
  <w:abstractNum w:abstractNumId="14" w15:restartNumberingAfterBreak="0">
    <w:nsid w:val="25672CC7"/>
    <w:multiLevelType w:val="hybridMultilevel"/>
    <w:tmpl w:val="0C30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F32786"/>
    <w:multiLevelType w:val="singleLevel"/>
    <w:tmpl w:val="872869CA"/>
    <w:lvl w:ilvl="0">
      <w:start w:val="1"/>
      <w:numFmt w:val="none"/>
      <w:pStyle w:val="Heading4"/>
      <w:lvlText w:val=""/>
      <w:legacy w:legacy="1" w:legacySpace="0" w:legacyIndent="0"/>
      <w:lvlJc w:val="left"/>
    </w:lvl>
  </w:abstractNum>
  <w:abstractNum w:abstractNumId="16" w15:restartNumberingAfterBreak="0">
    <w:nsid w:val="28515E8C"/>
    <w:multiLevelType w:val="hybridMultilevel"/>
    <w:tmpl w:val="761A32BC"/>
    <w:lvl w:ilvl="0" w:tplc="A380F64E">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9894CAE"/>
    <w:multiLevelType w:val="hybridMultilevel"/>
    <w:tmpl w:val="FFFFFFFF"/>
    <w:lvl w:ilvl="0" w:tplc="0C14A0E2">
      <w:start w:val="1"/>
      <w:numFmt w:val="decimal"/>
      <w:lvlText w:val="%1."/>
      <w:lvlJc w:val="left"/>
      <w:pPr>
        <w:ind w:left="720" w:hanging="360"/>
      </w:pPr>
    </w:lvl>
    <w:lvl w:ilvl="1" w:tplc="78EC77CC">
      <w:start w:val="1"/>
      <w:numFmt w:val="lowerLetter"/>
      <w:lvlText w:val="%2."/>
      <w:lvlJc w:val="left"/>
      <w:pPr>
        <w:ind w:left="1440" w:hanging="360"/>
      </w:pPr>
    </w:lvl>
    <w:lvl w:ilvl="2" w:tplc="70781F44">
      <w:start w:val="1"/>
      <w:numFmt w:val="lowerRoman"/>
      <w:lvlText w:val="%3."/>
      <w:lvlJc w:val="right"/>
      <w:pPr>
        <w:ind w:left="2160" w:hanging="180"/>
      </w:pPr>
    </w:lvl>
    <w:lvl w:ilvl="3" w:tplc="C174EFAC">
      <w:start w:val="1"/>
      <w:numFmt w:val="decimal"/>
      <w:lvlText w:val="%4."/>
      <w:lvlJc w:val="left"/>
      <w:pPr>
        <w:ind w:left="2880" w:hanging="360"/>
      </w:pPr>
    </w:lvl>
    <w:lvl w:ilvl="4" w:tplc="49387840">
      <w:start w:val="1"/>
      <w:numFmt w:val="lowerLetter"/>
      <w:lvlText w:val="%5."/>
      <w:lvlJc w:val="left"/>
      <w:pPr>
        <w:ind w:left="3600" w:hanging="360"/>
      </w:pPr>
    </w:lvl>
    <w:lvl w:ilvl="5" w:tplc="C2E8F09E">
      <w:start w:val="1"/>
      <w:numFmt w:val="lowerRoman"/>
      <w:lvlText w:val="%6."/>
      <w:lvlJc w:val="right"/>
      <w:pPr>
        <w:ind w:left="4320" w:hanging="180"/>
      </w:pPr>
    </w:lvl>
    <w:lvl w:ilvl="6" w:tplc="6BA896AE">
      <w:start w:val="1"/>
      <w:numFmt w:val="decimal"/>
      <w:lvlText w:val="%7."/>
      <w:lvlJc w:val="left"/>
      <w:pPr>
        <w:ind w:left="5040" w:hanging="360"/>
      </w:pPr>
    </w:lvl>
    <w:lvl w:ilvl="7" w:tplc="36EA0256">
      <w:start w:val="1"/>
      <w:numFmt w:val="lowerLetter"/>
      <w:lvlText w:val="%8."/>
      <w:lvlJc w:val="left"/>
      <w:pPr>
        <w:ind w:left="5760" w:hanging="360"/>
      </w:pPr>
    </w:lvl>
    <w:lvl w:ilvl="8" w:tplc="0BE80446">
      <w:start w:val="1"/>
      <w:numFmt w:val="lowerRoman"/>
      <w:lvlText w:val="%9."/>
      <w:lvlJc w:val="right"/>
      <w:pPr>
        <w:ind w:left="6480" w:hanging="180"/>
      </w:pPr>
    </w:lvl>
  </w:abstractNum>
  <w:abstractNum w:abstractNumId="18" w15:restartNumberingAfterBreak="0">
    <w:nsid w:val="2A9F258A"/>
    <w:multiLevelType w:val="hybridMultilevel"/>
    <w:tmpl w:val="FFFFFFFF"/>
    <w:lvl w:ilvl="0" w:tplc="70560B3A">
      <w:start w:val="1"/>
      <w:numFmt w:val="decimal"/>
      <w:lvlText w:val="%1."/>
      <w:lvlJc w:val="left"/>
      <w:pPr>
        <w:ind w:left="720" w:hanging="360"/>
      </w:pPr>
    </w:lvl>
    <w:lvl w:ilvl="1" w:tplc="16C4A2BC">
      <w:start w:val="1"/>
      <w:numFmt w:val="lowerLetter"/>
      <w:lvlText w:val="%2."/>
      <w:lvlJc w:val="left"/>
      <w:pPr>
        <w:ind w:left="1440" w:hanging="360"/>
      </w:pPr>
    </w:lvl>
    <w:lvl w:ilvl="2" w:tplc="9870A624">
      <w:start w:val="1"/>
      <w:numFmt w:val="lowerRoman"/>
      <w:lvlText w:val="%3."/>
      <w:lvlJc w:val="right"/>
      <w:pPr>
        <w:ind w:left="2160" w:hanging="180"/>
      </w:pPr>
    </w:lvl>
    <w:lvl w:ilvl="3" w:tplc="5EB6E402">
      <w:start w:val="1"/>
      <w:numFmt w:val="decimal"/>
      <w:lvlText w:val="%4."/>
      <w:lvlJc w:val="left"/>
      <w:pPr>
        <w:ind w:left="2880" w:hanging="360"/>
      </w:pPr>
    </w:lvl>
    <w:lvl w:ilvl="4" w:tplc="C1067BD2">
      <w:start w:val="1"/>
      <w:numFmt w:val="lowerLetter"/>
      <w:lvlText w:val="%5."/>
      <w:lvlJc w:val="left"/>
      <w:pPr>
        <w:ind w:left="3600" w:hanging="360"/>
      </w:pPr>
    </w:lvl>
    <w:lvl w:ilvl="5" w:tplc="868E95E8">
      <w:start w:val="1"/>
      <w:numFmt w:val="lowerRoman"/>
      <w:lvlText w:val="%6."/>
      <w:lvlJc w:val="right"/>
      <w:pPr>
        <w:ind w:left="4320" w:hanging="180"/>
      </w:pPr>
    </w:lvl>
    <w:lvl w:ilvl="6" w:tplc="94840F32">
      <w:start w:val="1"/>
      <w:numFmt w:val="decimal"/>
      <w:lvlText w:val="%7."/>
      <w:lvlJc w:val="left"/>
      <w:pPr>
        <w:ind w:left="5040" w:hanging="360"/>
      </w:pPr>
    </w:lvl>
    <w:lvl w:ilvl="7" w:tplc="5C988AB8">
      <w:start w:val="1"/>
      <w:numFmt w:val="lowerLetter"/>
      <w:lvlText w:val="%8."/>
      <w:lvlJc w:val="left"/>
      <w:pPr>
        <w:ind w:left="5760" w:hanging="360"/>
      </w:pPr>
    </w:lvl>
    <w:lvl w:ilvl="8" w:tplc="51EE93D8">
      <w:start w:val="1"/>
      <w:numFmt w:val="lowerRoman"/>
      <w:lvlText w:val="%9."/>
      <w:lvlJc w:val="right"/>
      <w:pPr>
        <w:ind w:left="6480" w:hanging="180"/>
      </w:pPr>
    </w:lvl>
  </w:abstractNum>
  <w:abstractNum w:abstractNumId="19" w15:restartNumberingAfterBreak="0">
    <w:nsid w:val="2C9ADEFA"/>
    <w:multiLevelType w:val="hybridMultilevel"/>
    <w:tmpl w:val="FFFFFFFF"/>
    <w:lvl w:ilvl="0" w:tplc="10FE5434">
      <w:start w:val="1"/>
      <w:numFmt w:val="decimal"/>
      <w:lvlText w:val="%1."/>
      <w:lvlJc w:val="left"/>
      <w:pPr>
        <w:ind w:left="720" w:hanging="360"/>
      </w:pPr>
    </w:lvl>
    <w:lvl w:ilvl="1" w:tplc="CBD8C606">
      <w:start w:val="1"/>
      <w:numFmt w:val="lowerLetter"/>
      <w:lvlText w:val="%2."/>
      <w:lvlJc w:val="left"/>
      <w:pPr>
        <w:ind w:left="1440" w:hanging="360"/>
      </w:pPr>
    </w:lvl>
    <w:lvl w:ilvl="2" w:tplc="85EAD1A8">
      <w:start w:val="1"/>
      <w:numFmt w:val="lowerRoman"/>
      <w:lvlText w:val="%3."/>
      <w:lvlJc w:val="right"/>
      <w:pPr>
        <w:ind w:left="2160" w:hanging="180"/>
      </w:pPr>
    </w:lvl>
    <w:lvl w:ilvl="3" w:tplc="DB8C2350">
      <w:start w:val="1"/>
      <w:numFmt w:val="decimal"/>
      <w:lvlText w:val="%4."/>
      <w:lvlJc w:val="left"/>
      <w:pPr>
        <w:ind w:left="2880" w:hanging="360"/>
      </w:pPr>
    </w:lvl>
    <w:lvl w:ilvl="4" w:tplc="3FD0677E">
      <w:start w:val="1"/>
      <w:numFmt w:val="lowerLetter"/>
      <w:lvlText w:val="%5."/>
      <w:lvlJc w:val="left"/>
      <w:pPr>
        <w:ind w:left="3600" w:hanging="360"/>
      </w:pPr>
    </w:lvl>
    <w:lvl w:ilvl="5" w:tplc="A8AA367C">
      <w:start w:val="1"/>
      <w:numFmt w:val="lowerRoman"/>
      <w:lvlText w:val="%6."/>
      <w:lvlJc w:val="right"/>
      <w:pPr>
        <w:ind w:left="4320" w:hanging="180"/>
      </w:pPr>
    </w:lvl>
    <w:lvl w:ilvl="6" w:tplc="99189B9A">
      <w:start w:val="1"/>
      <w:numFmt w:val="decimal"/>
      <w:lvlText w:val="%7."/>
      <w:lvlJc w:val="left"/>
      <w:pPr>
        <w:ind w:left="5040" w:hanging="360"/>
      </w:pPr>
    </w:lvl>
    <w:lvl w:ilvl="7" w:tplc="F32809E0">
      <w:start w:val="1"/>
      <w:numFmt w:val="lowerLetter"/>
      <w:lvlText w:val="%8."/>
      <w:lvlJc w:val="left"/>
      <w:pPr>
        <w:ind w:left="5760" w:hanging="360"/>
      </w:pPr>
    </w:lvl>
    <w:lvl w:ilvl="8" w:tplc="488C8DEC">
      <w:start w:val="1"/>
      <w:numFmt w:val="lowerRoman"/>
      <w:lvlText w:val="%9."/>
      <w:lvlJc w:val="right"/>
      <w:pPr>
        <w:ind w:left="6480" w:hanging="180"/>
      </w:pPr>
    </w:lvl>
  </w:abstractNum>
  <w:abstractNum w:abstractNumId="20" w15:restartNumberingAfterBreak="0">
    <w:nsid w:val="3221F603"/>
    <w:multiLevelType w:val="hybridMultilevel"/>
    <w:tmpl w:val="FFFFFFFF"/>
    <w:lvl w:ilvl="0" w:tplc="C6EE2CB6">
      <w:start w:val="1"/>
      <w:numFmt w:val="decimal"/>
      <w:lvlText w:val="%1."/>
      <w:lvlJc w:val="left"/>
      <w:pPr>
        <w:ind w:left="720" w:hanging="360"/>
      </w:pPr>
    </w:lvl>
    <w:lvl w:ilvl="1" w:tplc="B89237B0">
      <w:start w:val="1"/>
      <w:numFmt w:val="lowerLetter"/>
      <w:lvlText w:val="%2."/>
      <w:lvlJc w:val="left"/>
      <w:pPr>
        <w:ind w:left="1440" w:hanging="360"/>
      </w:pPr>
    </w:lvl>
    <w:lvl w:ilvl="2" w:tplc="AA8AEEDA">
      <w:start w:val="1"/>
      <w:numFmt w:val="lowerRoman"/>
      <w:lvlText w:val="%3."/>
      <w:lvlJc w:val="right"/>
      <w:pPr>
        <w:ind w:left="2160" w:hanging="180"/>
      </w:pPr>
    </w:lvl>
    <w:lvl w:ilvl="3" w:tplc="C6F412B0">
      <w:start w:val="1"/>
      <w:numFmt w:val="decimal"/>
      <w:lvlText w:val="%4."/>
      <w:lvlJc w:val="left"/>
      <w:pPr>
        <w:ind w:left="2880" w:hanging="360"/>
      </w:pPr>
    </w:lvl>
    <w:lvl w:ilvl="4" w:tplc="42843118">
      <w:start w:val="1"/>
      <w:numFmt w:val="lowerLetter"/>
      <w:lvlText w:val="%5."/>
      <w:lvlJc w:val="left"/>
      <w:pPr>
        <w:ind w:left="3600" w:hanging="360"/>
      </w:pPr>
    </w:lvl>
    <w:lvl w:ilvl="5" w:tplc="F3107552">
      <w:start w:val="1"/>
      <w:numFmt w:val="lowerRoman"/>
      <w:lvlText w:val="%6."/>
      <w:lvlJc w:val="right"/>
      <w:pPr>
        <w:ind w:left="4320" w:hanging="180"/>
      </w:pPr>
    </w:lvl>
    <w:lvl w:ilvl="6" w:tplc="279AC8AA">
      <w:start w:val="1"/>
      <w:numFmt w:val="decimal"/>
      <w:lvlText w:val="%7."/>
      <w:lvlJc w:val="left"/>
      <w:pPr>
        <w:ind w:left="5040" w:hanging="360"/>
      </w:pPr>
    </w:lvl>
    <w:lvl w:ilvl="7" w:tplc="C52CCE62">
      <w:start w:val="1"/>
      <w:numFmt w:val="lowerLetter"/>
      <w:lvlText w:val="%8."/>
      <w:lvlJc w:val="left"/>
      <w:pPr>
        <w:ind w:left="5760" w:hanging="360"/>
      </w:pPr>
    </w:lvl>
    <w:lvl w:ilvl="8" w:tplc="40A09428">
      <w:start w:val="1"/>
      <w:numFmt w:val="lowerRoman"/>
      <w:lvlText w:val="%9."/>
      <w:lvlJc w:val="right"/>
      <w:pPr>
        <w:ind w:left="6480" w:hanging="180"/>
      </w:pPr>
    </w:lvl>
  </w:abstractNum>
  <w:abstractNum w:abstractNumId="21" w15:restartNumberingAfterBreak="0">
    <w:nsid w:val="397D288B"/>
    <w:multiLevelType w:val="hybridMultilevel"/>
    <w:tmpl w:val="931AD9D2"/>
    <w:lvl w:ilvl="0" w:tplc="D80854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D37AA3"/>
    <w:multiLevelType w:val="hybridMultilevel"/>
    <w:tmpl w:val="5EB22598"/>
    <w:lvl w:ilvl="0" w:tplc="A5FE7F50">
      <w:start w:val="1"/>
      <w:numFmt w:val="bullet"/>
      <w:pStyle w:val="BillADBulletAfter18p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878605D"/>
    <w:multiLevelType w:val="hybridMultilevel"/>
    <w:tmpl w:val="40B6082A"/>
    <w:lvl w:ilvl="0" w:tplc="7DB068E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810E5A"/>
    <w:multiLevelType w:val="hybridMultilevel"/>
    <w:tmpl w:val="D742AFB2"/>
    <w:lvl w:ilvl="0" w:tplc="19E8606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15:restartNumberingAfterBreak="0">
    <w:nsid w:val="4F0C40C6"/>
    <w:multiLevelType w:val="hybridMultilevel"/>
    <w:tmpl w:val="FFFFFFFF"/>
    <w:lvl w:ilvl="0" w:tplc="48B4B594">
      <w:start w:val="1"/>
      <w:numFmt w:val="decimal"/>
      <w:lvlText w:val="%1."/>
      <w:lvlJc w:val="left"/>
      <w:pPr>
        <w:ind w:left="720" w:hanging="360"/>
      </w:pPr>
    </w:lvl>
    <w:lvl w:ilvl="1" w:tplc="861C8A64">
      <w:start w:val="1"/>
      <w:numFmt w:val="lowerLetter"/>
      <w:lvlText w:val="%2."/>
      <w:lvlJc w:val="left"/>
      <w:pPr>
        <w:ind w:left="1440" w:hanging="360"/>
      </w:pPr>
    </w:lvl>
    <w:lvl w:ilvl="2" w:tplc="C0BEF224">
      <w:start w:val="1"/>
      <w:numFmt w:val="lowerRoman"/>
      <w:lvlText w:val="%3."/>
      <w:lvlJc w:val="right"/>
      <w:pPr>
        <w:ind w:left="2160" w:hanging="180"/>
      </w:pPr>
    </w:lvl>
    <w:lvl w:ilvl="3" w:tplc="D8E8E85A">
      <w:start w:val="1"/>
      <w:numFmt w:val="decimal"/>
      <w:lvlText w:val="%4."/>
      <w:lvlJc w:val="left"/>
      <w:pPr>
        <w:ind w:left="2880" w:hanging="360"/>
      </w:pPr>
    </w:lvl>
    <w:lvl w:ilvl="4" w:tplc="881E88C4">
      <w:start w:val="1"/>
      <w:numFmt w:val="lowerLetter"/>
      <w:lvlText w:val="%5."/>
      <w:lvlJc w:val="left"/>
      <w:pPr>
        <w:ind w:left="3600" w:hanging="360"/>
      </w:pPr>
    </w:lvl>
    <w:lvl w:ilvl="5" w:tplc="2FE83B0A">
      <w:start w:val="1"/>
      <w:numFmt w:val="lowerRoman"/>
      <w:lvlText w:val="%6."/>
      <w:lvlJc w:val="right"/>
      <w:pPr>
        <w:ind w:left="4320" w:hanging="180"/>
      </w:pPr>
    </w:lvl>
    <w:lvl w:ilvl="6" w:tplc="466CF120">
      <w:start w:val="1"/>
      <w:numFmt w:val="decimal"/>
      <w:lvlText w:val="%7."/>
      <w:lvlJc w:val="left"/>
      <w:pPr>
        <w:ind w:left="5040" w:hanging="360"/>
      </w:pPr>
    </w:lvl>
    <w:lvl w:ilvl="7" w:tplc="F470F786">
      <w:start w:val="1"/>
      <w:numFmt w:val="lowerLetter"/>
      <w:lvlText w:val="%8."/>
      <w:lvlJc w:val="left"/>
      <w:pPr>
        <w:ind w:left="5760" w:hanging="360"/>
      </w:pPr>
    </w:lvl>
    <w:lvl w:ilvl="8" w:tplc="8076C1A6">
      <w:start w:val="1"/>
      <w:numFmt w:val="lowerRoman"/>
      <w:lvlText w:val="%9."/>
      <w:lvlJc w:val="right"/>
      <w:pPr>
        <w:ind w:left="6480" w:hanging="180"/>
      </w:pPr>
    </w:lvl>
  </w:abstractNum>
  <w:abstractNum w:abstractNumId="26" w15:restartNumberingAfterBreak="0">
    <w:nsid w:val="4F41E859"/>
    <w:multiLevelType w:val="hybridMultilevel"/>
    <w:tmpl w:val="46082D9C"/>
    <w:lvl w:ilvl="0" w:tplc="3014F626">
      <w:start w:val="61"/>
      <w:numFmt w:val="decimal"/>
      <w:lvlText w:val="%1."/>
      <w:lvlJc w:val="left"/>
      <w:pPr>
        <w:ind w:left="720" w:hanging="360"/>
      </w:pPr>
    </w:lvl>
    <w:lvl w:ilvl="1" w:tplc="BE02F6AE">
      <w:start w:val="1"/>
      <w:numFmt w:val="lowerLetter"/>
      <w:lvlText w:val="%2."/>
      <w:lvlJc w:val="left"/>
      <w:pPr>
        <w:ind w:left="1440" w:hanging="360"/>
      </w:pPr>
    </w:lvl>
    <w:lvl w:ilvl="2" w:tplc="FBF21B3A">
      <w:start w:val="1"/>
      <w:numFmt w:val="lowerRoman"/>
      <w:lvlText w:val="%3."/>
      <w:lvlJc w:val="right"/>
      <w:pPr>
        <w:ind w:left="2160" w:hanging="180"/>
      </w:pPr>
    </w:lvl>
    <w:lvl w:ilvl="3" w:tplc="FFF60CFA">
      <w:start w:val="1"/>
      <w:numFmt w:val="decimal"/>
      <w:lvlText w:val="%4."/>
      <w:lvlJc w:val="left"/>
      <w:pPr>
        <w:ind w:left="2880" w:hanging="360"/>
      </w:pPr>
    </w:lvl>
    <w:lvl w:ilvl="4" w:tplc="3A183BD0">
      <w:start w:val="1"/>
      <w:numFmt w:val="lowerLetter"/>
      <w:lvlText w:val="%5."/>
      <w:lvlJc w:val="left"/>
      <w:pPr>
        <w:ind w:left="3600" w:hanging="360"/>
      </w:pPr>
    </w:lvl>
    <w:lvl w:ilvl="5" w:tplc="02A27F8C">
      <w:start w:val="1"/>
      <w:numFmt w:val="lowerRoman"/>
      <w:lvlText w:val="%6."/>
      <w:lvlJc w:val="right"/>
      <w:pPr>
        <w:ind w:left="4320" w:hanging="180"/>
      </w:pPr>
    </w:lvl>
    <w:lvl w:ilvl="6" w:tplc="8E8C24AA">
      <w:start w:val="1"/>
      <w:numFmt w:val="decimal"/>
      <w:lvlText w:val="%7."/>
      <w:lvlJc w:val="left"/>
      <w:pPr>
        <w:ind w:left="5040" w:hanging="360"/>
      </w:pPr>
    </w:lvl>
    <w:lvl w:ilvl="7" w:tplc="DBB40A56">
      <w:start w:val="1"/>
      <w:numFmt w:val="lowerLetter"/>
      <w:lvlText w:val="%8."/>
      <w:lvlJc w:val="left"/>
      <w:pPr>
        <w:ind w:left="5760" w:hanging="360"/>
      </w:pPr>
    </w:lvl>
    <w:lvl w:ilvl="8" w:tplc="D1E4B8D2">
      <w:start w:val="1"/>
      <w:numFmt w:val="lowerRoman"/>
      <w:lvlText w:val="%9."/>
      <w:lvlJc w:val="right"/>
      <w:pPr>
        <w:ind w:left="6480" w:hanging="180"/>
      </w:pPr>
    </w:lvl>
  </w:abstractNum>
  <w:abstractNum w:abstractNumId="27" w15:restartNumberingAfterBreak="0">
    <w:nsid w:val="524B0C56"/>
    <w:multiLevelType w:val="hybridMultilevel"/>
    <w:tmpl w:val="FFFFFFFF"/>
    <w:lvl w:ilvl="0" w:tplc="AF6060BE">
      <w:start w:val="1"/>
      <w:numFmt w:val="decimal"/>
      <w:lvlText w:val="%1."/>
      <w:lvlJc w:val="left"/>
      <w:pPr>
        <w:ind w:left="720" w:hanging="360"/>
      </w:pPr>
    </w:lvl>
    <w:lvl w:ilvl="1" w:tplc="CBE22968">
      <w:start w:val="1"/>
      <w:numFmt w:val="lowerLetter"/>
      <w:lvlText w:val="%2."/>
      <w:lvlJc w:val="left"/>
      <w:pPr>
        <w:ind w:left="1440" w:hanging="360"/>
      </w:pPr>
    </w:lvl>
    <w:lvl w:ilvl="2" w:tplc="D5F0E644">
      <w:start w:val="1"/>
      <w:numFmt w:val="lowerRoman"/>
      <w:lvlText w:val="%3."/>
      <w:lvlJc w:val="right"/>
      <w:pPr>
        <w:ind w:left="2160" w:hanging="180"/>
      </w:pPr>
    </w:lvl>
    <w:lvl w:ilvl="3" w:tplc="83B896CA">
      <w:start w:val="1"/>
      <w:numFmt w:val="decimal"/>
      <w:lvlText w:val="%4."/>
      <w:lvlJc w:val="left"/>
      <w:pPr>
        <w:ind w:left="2880" w:hanging="360"/>
      </w:pPr>
    </w:lvl>
    <w:lvl w:ilvl="4" w:tplc="45F8C9CE">
      <w:start w:val="1"/>
      <w:numFmt w:val="lowerLetter"/>
      <w:lvlText w:val="%5."/>
      <w:lvlJc w:val="left"/>
      <w:pPr>
        <w:ind w:left="3600" w:hanging="360"/>
      </w:pPr>
    </w:lvl>
    <w:lvl w:ilvl="5" w:tplc="8D080494">
      <w:start w:val="1"/>
      <w:numFmt w:val="lowerRoman"/>
      <w:lvlText w:val="%6."/>
      <w:lvlJc w:val="right"/>
      <w:pPr>
        <w:ind w:left="4320" w:hanging="180"/>
      </w:pPr>
    </w:lvl>
    <w:lvl w:ilvl="6" w:tplc="E3F02758">
      <w:start w:val="1"/>
      <w:numFmt w:val="decimal"/>
      <w:lvlText w:val="%7."/>
      <w:lvlJc w:val="left"/>
      <w:pPr>
        <w:ind w:left="5040" w:hanging="360"/>
      </w:pPr>
    </w:lvl>
    <w:lvl w:ilvl="7" w:tplc="D4569978">
      <w:start w:val="1"/>
      <w:numFmt w:val="lowerLetter"/>
      <w:lvlText w:val="%8."/>
      <w:lvlJc w:val="left"/>
      <w:pPr>
        <w:ind w:left="5760" w:hanging="360"/>
      </w:pPr>
    </w:lvl>
    <w:lvl w:ilvl="8" w:tplc="26A86806">
      <w:start w:val="1"/>
      <w:numFmt w:val="lowerRoman"/>
      <w:lvlText w:val="%9."/>
      <w:lvlJc w:val="right"/>
      <w:pPr>
        <w:ind w:left="6480" w:hanging="180"/>
      </w:pPr>
    </w:lvl>
  </w:abstractNum>
  <w:abstractNum w:abstractNumId="28" w15:restartNumberingAfterBreak="0">
    <w:nsid w:val="5527AA39"/>
    <w:multiLevelType w:val="hybridMultilevel"/>
    <w:tmpl w:val="FFFFFFFF"/>
    <w:lvl w:ilvl="0" w:tplc="674AD840">
      <w:start w:val="1"/>
      <w:numFmt w:val="decimal"/>
      <w:lvlText w:val="%1."/>
      <w:lvlJc w:val="left"/>
      <w:pPr>
        <w:ind w:left="720" w:hanging="360"/>
      </w:pPr>
    </w:lvl>
    <w:lvl w:ilvl="1" w:tplc="CEE6C94E">
      <w:start w:val="1"/>
      <w:numFmt w:val="lowerLetter"/>
      <w:lvlText w:val="%2."/>
      <w:lvlJc w:val="left"/>
      <w:pPr>
        <w:ind w:left="1440" w:hanging="360"/>
      </w:pPr>
    </w:lvl>
    <w:lvl w:ilvl="2" w:tplc="6226DD82">
      <w:start w:val="1"/>
      <w:numFmt w:val="lowerRoman"/>
      <w:lvlText w:val="%3."/>
      <w:lvlJc w:val="right"/>
      <w:pPr>
        <w:ind w:left="2160" w:hanging="180"/>
      </w:pPr>
    </w:lvl>
    <w:lvl w:ilvl="3" w:tplc="54BAC2A6">
      <w:start w:val="1"/>
      <w:numFmt w:val="decimal"/>
      <w:lvlText w:val="%4."/>
      <w:lvlJc w:val="left"/>
      <w:pPr>
        <w:ind w:left="2880" w:hanging="360"/>
      </w:pPr>
    </w:lvl>
    <w:lvl w:ilvl="4" w:tplc="E2D0C1C0">
      <w:start w:val="1"/>
      <w:numFmt w:val="lowerLetter"/>
      <w:lvlText w:val="%5."/>
      <w:lvlJc w:val="left"/>
      <w:pPr>
        <w:ind w:left="3600" w:hanging="360"/>
      </w:pPr>
    </w:lvl>
    <w:lvl w:ilvl="5" w:tplc="5B0675BC">
      <w:start w:val="1"/>
      <w:numFmt w:val="lowerRoman"/>
      <w:lvlText w:val="%6."/>
      <w:lvlJc w:val="right"/>
      <w:pPr>
        <w:ind w:left="4320" w:hanging="180"/>
      </w:pPr>
    </w:lvl>
    <w:lvl w:ilvl="6" w:tplc="30B2A086">
      <w:start w:val="1"/>
      <w:numFmt w:val="decimal"/>
      <w:lvlText w:val="%7."/>
      <w:lvlJc w:val="left"/>
      <w:pPr>
        <w:ind w:left="5040" w:hanging="360"/>
      </w:pPr>
    </w:lvl>
    <w:lvl w:ilvl="7" w:tplc="AD366CB0">
      <w:start w:val="1"/>
      <w:numFmt w:val="lowerLetter"/>
      <w:lvlText w:val="%8."/>
      <w:lvlJc w:val="left"/>
      <w:pPr>
        <w:ind w:left="5760" w:hanging="360"/>
      </w:pPr>
    </w:lvl>
    <w:lvl w:ilvl="8" w:tplc="03F41F06">
      <w:start w:val="1"/>
      <w:numFmt w:val="lowerRoman"/>
      <w:lvlText w:val="%9."/>
      <w:lvlJc w:val="right"/>
      <w:pPr>
        <w:ind w:left="6480" w:hanging="180"/>
      </w:pPr>
    </w:lvl>
  </w:abstractNum>
  <w:abstractNum w:abstractNumId="29"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02175AD"/>
    <w:multiLevelType w:val="hybridMultilevel"/>
    <w:tmpl w:val="FFFFFFFF"/>
    <w:lvl w:ilvl="0" w:tplc="5C521A2A">
      <w:start w:val="1"/>
      <w:numFmt w:val="decimal"/>
      <w:lvlText w:val="%1."/>
      <w:lvlJc w:val="left"/>
      <w:pPr>
        <w:ind w:left="720" w:hanging="360"/>
      </w:pPr>
    </w:lvl>
    <w:lvl w:ilvl="1" w:tplc="3EE067DA">
      <w:start w:val="1"/>
      <w:numFmt w:val="lowerLetter"/>
      <w:lvlText w:val="%2."/>
      <w:lvlJc w:val="left"/>
      <w:pPr>
        <w:ind w:left="1440" w:hanging="360"/>
      </w:pPr>
    </w:lvl>
    <w:lvl w:ilvl="2" w:tplc="7FFC5568">
      <w:start w:val="1"/>
      <w:numFmt w:val="lowerRoman"/>
      <w:lvlText w:val="%3."/>
      <w:lvlJc w:val="right"/>
      <w:pPr>
        <w:ind w:left="2160" w:hanging="180"/>
      </w:pPr>
    </w:lvl>
    <w:lvl w:ilvl="3" w:tplc="FB96519E">
      <w:start w:val="1"/>
      <w:numFmt w:val="decimal"/>
      <w:lvlText w:val="%4."/>
      <w:lvlJc w:val="left"/>
      <w:pPr>
        <w:ind w:left="2880" w:hanging="360"/>
      </w:pPr>
    </w:lvl>
    <w:lvl w:ilvl="4" w:tplc="9CE8DF5A">
      <w:start w:val="1"/>
      <w:numFmt w:val="lowerLetter"/>
      <w:lvlText w:val="%5."/>
      <w:lvlJc w:val="left"/>
      <w:pPr>
        <w:ind w:left="3600" w:hanging="360"/>
      </w:pPr>
    </w:lvl>
    <w:lvl w:ilvl="5" w:tplc="1D2433EC">
      <w:start w:val="1"/>
      <w:numFmt w:val="lowerRoman"/>
      <w:lvlText w:val="%6."/>
      <w:lvlJc w:val="right"/>
      <w:pPr>
        <w:ind w:left="4320" w:hanging="180"/>
      </w:pPr>
    </w:lvl>
    <w:lvl w:ilvl="6" w:tplc="57AA8D22">
      <w:start w:val="1"/>
      <w:numFmt w:val="decimal"/>
      <w:lvlText w:val="%7."/>
      <w:lvlJc w:val="left"/>
      <w:pPr>
        <w:ind w:left="5040" w:hanging="360"/>
      </w:pPr>
    </w:lvl>
    <w:lvl w:ilvl="7" w:tplc="B91E407C">
      <w:start w:val="1"/>
      <w:numFmt w:val="lowerLetter"/>
      <w:lvlText w:val="%8."/>
      <w:lvlJc w:val="left"/>
      <w:pPr>
        <w:ind w:left="5760" w:hanging="360"/>
      </w:pPr>
    </w:lvl>
    <w:lvl w:ilvl="8" w:tplc="29142784">
      <w:start w:val="1"/>
      <w:numFmt w:val="lowerRoman"/>
      <w:lvlText w:val="%9."/>
      <w:lvlJc w:val="right"/>
      <w:pPr>
        <w:ind w:left="6480" w:hanging="180"/>
      </w:pPr>
    </w:lvl>
  </w:abstractNum>
  <w:abstractNum w:abstractNumId="31" w15:restartNumberingAfterBreak="0">
    <w:nsid w:val="6247340F"/>
    <w:multiLevelType w:val="hybridMultilevel"/>
    <w:tmpl w:val="FFFFFFFF"/>
    <w:lvl w:ilvl="0" w:tplc="4F00337C">
      <w:start w:val="1"/>
      <w:numFmt w:val="decimal"/>
      <w:lvlText w:val="%1."/>
      <w:lvlJc w:val="left"/>
      <w:pPr>
        <w:ind w:left="720" w:hanging="360"/>
      </w:pPr>
    </w:lvl>
    <w:lvl w:ilvl="1" w:tplc="96908B56">
      <w:start w:val="1"/>
      <w:numFmt w:val="lowerLetter"/>
      <w:lvlText w:val="%2."/>
      <w:lvlJc w:val="left"/>
      <w:pPr>
        <w:ind w:left="1440" w:hanging="360"/>
      </w:pPr>
    </w:lvl>
    <w:lvl w:ilvl="2" w:tplc="F3BC172E">
      <w:start w:val="1"/>
      <w:numFmt w:val="lowerRoman"/>
      <w:lvlText w:val="%3."/>
      <w:lvlJc w:val="right"/>
      <w:pPr>
        <w:ind w:left="2160" w:hanging="180"/>
      </w:pPr>
    </w:lvl>
    <w:lvl w:ilvl="3" w:tplc="B51A2982">
      <w:start w:val="1"/>
      <w:numFmt w:val="decimal"/>
      <w:lvlText w:val="%4."/>
      <w:lvlJc w:val="left"/>
      <w:pPr>
        <w:ind w:left="2880" w:hanging="360"/>
      </w:pPr>
    </w:lvl>
    <w:lvl w:ilvl="4" w:tplc="C3DA264C">
      <w:start w:val="1"/>
      <w:numFmt w:val="lowerLetter"/>
      <w:lvlText w:val="%5."/>
      <w:lvlJc w:val="left"/>
      <w:pPr>
        <w:ind w:left="3600" w:hanging="360"/>
      </w:pPr>
    </w:lvl>
    <w:lvl w:ilvl="5" w:tplc="8F1CAEB2">
      <w:start w:val="1"/>
      <w:numFmt w:val="lowerRoman"/>
      <w:lvlText w:val="%6."/>
      <w:lvlJc w:val="right"/>
      <w:pPr>
        <w:ind w:left="4320" w:hanging="180"/>
      </w:pPr>
    </w:lvl>
    <w:lvl w:ilvl="6" w:tplc="68B0987E">
      <w:start w:val="1"/>
      <w:numFmt w:val="decimal"/>
      <w:lvlText w:val="%7."/>
      <w:lvlJc w:val="left"/>
      <w:pPr>
        <w:ind w:left="5040" w:hanging="360"/>
      </w:pPr>
    </w:lvl>
    <w:lvl w:ilvl="7" w:tplc="7F1E0084">
      <w:start w:val="1"/>
      <w:numFmt w:val="lowerLetter"/>
      <w:lvlText w:val="%8."/>
      <w:lvlJc w:val="left"/>
      <w:pPr>
        <w:ind w:left="5760" w:hanging="360"/>
      </w:pPr>
    </w:lvl>
    <w:lvl w:ilvl="8" w:tplc="2CAE52E8">
      <w:start w:val="1"/>
      <w:numFmt w:val="lowerRoman"/>
      <w:lvlText w:val="%9."/>
      <w:lvlJc w:val="right"/>
      <w:pPr>
        <w:ind w:left="6480" w:hanging="180"/>
      </w:pPr>
    </w:lvl>
  </w:abstractNum>
  <w:abstractNum w:abstractNumId="32" w15:restartNumberingAfterBreak="0">
    <w:nsid w:val="62C55DFE"/>
    <w:multiLevelType w:val="multilevel"/>
    <w:tmpl w:val="34C6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893C36"/>
    <w:multiLevelType w:val="hybridMultilevel"/>
    <w:tmpl w:val="25B05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CF0E27"/>
    <w:multiLevelType w:val="hybridMultilevel"/>
    <w:tmpl w:val="531A8D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5A0F242"/>
    <w:multiLevelType w:val="hybridMultilevel"/>
    <w:tmpl w:val="FFFFFFFF"/>
    <w:lvl w:ilvl="0" w:tplc="FF12DD84">
      <w:start w:val="1"/>
      <w:numFmt w:val="decimal"/>
      <w:lvlText w:val="%1."/>
      <w:lvlJc w:val="left"/>
      <w:pPr>
        <w:ind w:left="720" w:hanging="360"/>
      </w:pPr>
    </w:lvl>
    <w:lvl w:ilvl="1" w:tplc="C90C7B24">
      <w:start w:val="1"/>
      <w:numFmt w:val="lowerLetter"/>
      <w:lvlText w:val="%2."/>
      <w:lvlJc w:val="left"/>
      <w:pPr>
        <w:ind w:left="1440" w:hanging="360"/>
      </w:pPr>
    </w:lvl>
    <w:lvl w:ilvl="2" w:tplc="911ED192">
      <w:start w:val="1"/>
      <w:numFmt w:val="lowerRoman"/>
      <w:lvlText w:val="%3."/>
      <w:lvlJc w:val="right"/>
      <w:pPr>
        <w:ind w:left="2160" w:hanging="180"/>
      </w:pPr>
    </w:lvl>
    <w:lvl w:ilvl="3" w:tplc="4C4A3996">
      <w:start w:val="1"/>
      <w:numFmt w:val="decimal"/>
      <w:lvlText w:val="%4."/>
      <w:lvlJc w:val="left"/>
      <w:pPr>
        <w:ind w:left="2880" w:hanging="360"/>
      </w:pPr>
    </w:lvl>
    <w:lvl w:ilvl="4" w:tplc="A768B362">
      <w:start w:val="1"/>
      <w:numFmt w:val="lowerLetter"/>
      <w:lvlText w:val="%5."/>
      <w:lvlJc w:val="left"/>
      <w:pPr>
        <w:ind w:left="3600" w:hanging="360"/>
      </w:pPr>
    </w:lvl>
    <w:lvl w:ilvl="5" w:tplc="2D520334">
      <w:start w:val="1"/>
      <w:numFmt w:val="lowerRoman"/>
      <w:lvlText w:val="%6."/>
      <w:lvlJc w:val="right"/>
      <w:pPr>
        <w:ind w:left="4320" w:hanging="180"/>
      </w:pPr>
    </w:lvl>
    <w:lvl w:ilvl="6" w:tplc="1E08877E">
      <w:start w:val="1"/>
      <w:numFmt w:val="decimal"/>
      <w:lvlText w:val="%7."/>
      <w:lvlJc w:val="left"/>
      <w:pPr>
        <w:ind w:left="5040" w:hanging="360"/>
      </w:pPr>
    </w:lvl>
    <w:lvl w:ilvl="7" w:tplc="71566EF6">
      <w:start w:val="1"/>
      <w:numFmt w:val="lowerLetter"/>
      <w:lvlText w:val="%8."/>
      <w:lvlJc w:val="left"/>
      <w:pPr>
        <w:ind w:left="5760" w:hanging="360"/>
      </w:pPr>
    </w:lvl>
    <w:lvl w:ilvl="8" w:tplc="42AC22AA">
      <w:start w:val="1"/>
      <w:numFmt w:val="lowerRoman"/>
      <w:lvlText w:val="%9."/>
      <w:lvlJc w:val="right"/>
      <w:pPr>
        <w:ind w:left="6480" w:hanging="180"/>
      </w:pPr>
    </w:lvl>
  </w:abstractNum>
  <w:abstractNum w:abstractNumId="36" w15:restartNumberingAfterBreak="0">
    <w:nsid w:val="7D311B2F"/>
    <w:multiLevelType w:val="singleLevel"/>
    <w:tmpl w:val="310636F6"/>
    <w:lvl w:ilvl="0">
      <w:start w:val="1"/>
      <w:numFmt w:val="bullet"/>
      <w:pStyle w:val="BillADBullet"/>
      <w:lvlText w:val=""/>
      <w:lvlJc w:val="left"/>
      <w:pPr>
        <w:tabs>
          <w:tab w:val="num" w:pos="360"/>
        </w:tabs>
        <w:ind w:left="360" w:hanging="360"/>
      </w:pPr>
      <w:rPr>
        <w:rFonts w:ascii="Symbol" w:hAnsi="Symbol" w:hint="default"/>
      </w:rPr>
    </w:lvl>
  </w:abstractNum>
  <w:num w:numId="1" w16cid:durableId="1496259211">
    <w:abstractNumId w:val="26"/>
  </w:num>
  <w:num w:numId="2" w16cid:durableId="892886929">
    <w:abstractNumId w:val="15"/>
  </w:num>
  <w:num w:numId="3" w16cid:durableId="148710928">
    <w:abstractNumId w:val="3"/>
  </w:num>
  <w:num w:numId="4" w16cid:durableId="1484008122">
    <w:abstractNumId w:val="4"/>
  </w:num>
  <w:num w:numId="5" w16cid:durableId="2081057181">
    <w:abstractNumId w:val="36"/>
  </w:num>
  <w:num w:numId="6" w16cid:durableId="1737431355">
    <w:abstractNumId w:val="22"/>
  </w:num>
  <w:num w:numId="7" w16cid:durableId="845830476">
    <w:abstractNumId w:val="32"/>
  </w:num>
  <w:num w:numId="8" w16cid:durableId="1472400158">
    <w:abstractNumId w:val="29"/>
  </w:num>
  <w:num w:numId="9" w16cid:durableId="27949617">
    <w:abstractNumId w:val="34"/>
  </w:num>
  <w:num w:numId="10" w16cid:durableId="1667397400">
    <w:abstractNumId w:val="2"/>
  </w:num>
  <w:num w:numId="11" w16cid:durableId="985352849">
    <w:abstractNumId w:val="2"/>
  </w:num>
  <w:num w:numId="12" w16cid:durableId="452479087">
    <w:abstractNumId w:val="28"/>
  </w:num>
  <w:num w:numId="13" w16cid:durableId="390350810">
    <w:abstractNumId w:val="25"/>
  </w:num>
  <w:num w:numId="14" w16cid:durableId="988556421">
    <w:abstractNumId w:val="18"/>
  </w:num>
  <w:num w:numId="15" w16cid:durableId="460735979">
    <w:abstractNumId w:val="6"/>
  </w:num>
  <w:num w:numId="16" w16cid:durableId="314459421">
    <w:abstractNumId w:val="20"/>
  </w:num>
  <w:num w:numId="17" w16cid:durableId="575164335">
    <w:abstractNumId w:val="0"/>
  </w:num>
  <w:num w:numId="18" w16cid:durableId="919558835">
    <w:abstractNumId w:val="12"/>
  </w:num>
  <w:num w:numId="19" w16cid:durableId="1284925604">
    <w:abstractNumId w:val="5"/>
  </w:num>
  <w:num w:numId="20" w16cid:durableId="498081412">
    <w:abstractNumId w:val="13"/>
  </w:num>
  <w:num w:numId="21" w16cid:durableId="1750619376">
    <w:abstractNumId w:val="8"/>
  </w:num>
  <w:num w:numId="22" w16cid:durableId="1249382234">
    <w:abstractNumId w:val="19"/>
  </w:num>
  <w:num w:numId="23" w16cid:durableId="458842905">
    <w:abstractNumId w:val="7"/>
  </w:num>
  <w:num w:numId="24" w16cid:durableId="144200149">
    <w:abstractNumId w:val="35"/>
  </w:num>
  <w:num w:numId="25" w16cid:durableId="571697723">
    <w:abstractNumId w:val="10"/>
  </w:num>
  <w:num w:numId="26" w16cid:durableId="840004171">
    <w:abstractNumId w:val="11"/>
  </w:num>
  <w:num w:numId="27" w16cid:durableId="1713269040">
    <w:abstractNumId w:val="31"/>
  </w:num>
  <w:num w:numId="28" w16cid:durableId="513110379">
    <w:abstractNumId w:val="17"/>
  </w:num>
  <w:num w:numId="29" w16cid:durableId="1514106666">
    <w:abstractNumId w:val="30"/>
  </w:num>
  <w:num w:numId="30" w16cid:durableId="1906528789">
    <w:abstractNumId w:val="27"/>
  </w:num>
  <w:num w:numId="31" w16cid:durableId="919095558">
    <w:abstractNumId w:val="14"/>
  </w:num>
  <w:num w:numId="32" w16cid:durableId="475680346">
    <w:abstractNumId w:val="21"/>
  </w:num>
  <w:num w:numId="33" w16cid:durableId="385030319">
    <w:abstractNumId w:val="16"/>
  </w:num>
  <w:num w:numId="34" w16cid:durableId="761027120">
    <w:abstractNumId w:val="1"/>
  </w:num>
  <w:num w:numId="35" w16cid:durableId="766272437">
    <w:abstractNumId w:val="24"/>
  </w:num>
  <w:num w:numId="36" w16cid:durableId="1455324084">
    <w:abstractNumId w:val="9"/>
  </w:num>
  <w:num w:numId="37" w16cid:durableId="1760977331">
    <w:abstractNumId w:val="33"/>
  </w:num>
  <w:num w:numId="38" w16cid:durableId="1855148045">
    <w:abstractNumId w:val="2"/>
  </w:num>
  <w:num w:numId="39" w16cid:durableId="570627529">
    <w:abstractNumId w:val="2"/>
  </w:num>
  <w:num w:numId="40" w16cid:durableId="1123839196">
    <w:abstractNumId w:val="2"/>
  </w:num>
  <w:num w:numId="41" w16cid:durableId="2133208914">
    <w:abstractNumId w:val="2"/>
  </w:num>
  <w:num w:numId="42" w16cid:durableId="77095399">
    <w:abstractNumId w:val="2"/>
  </w:num>
  <w:num w:numId="43" w16cid:durableId="1500540716">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FD"/>
    <w:rsid w:val="000002F8"/>
    <w:rsid w:val="00001BB1"/>
    <w:rsid w:val="00004F95"/>
    <w:rsid w:val="00007103"/>
    <w:rsid w:val="0000736F"/>
    <w:rsid w:val="000125E3"/>
    <w:rsid w:val="00015970"/>
    <w:rsid w:val="00027D85"/>
    <w:rsid w:val="00030060"/>
    <w:rsid w:val="000309E8"/>
    <w:rsid w:val="00032744"/>
    <w:rsid w:val="0003473E"/>
    <w:rsid w:val="00041DC6"/>
    <w:rsid w:val="00042EAC"/>
    <w:rsid w:val="00043982"/>
    <w:rsid w:val="000443B4"/>
    <w:rsid w:val="00044CD1"/>
    <w:rsid w:val="000500E2"/>
    <w:rsid w:val="00050503"/>
    <w:rsid w:val="00051471"/>
    <w:rsid w:val="000530D8"/>
    <w:rsid w:val="00054D14"/>
    <w:rsid w:val="00056C8D"/>
    <w:rsid w:val="0005787D"/>
    <w:rsid w:val="00064BFC"/>
    <w:rsid w:val="00064FC0"/>
    <w:rsid w:val="000651E2"/>
    <w:rsid w:val="00065E22"/>
    <w:rsid w:val="000661DD"/>
    <w:rsid w:val="00066289"/>
    <w:rsid w:val="000672E7"/>
    <w:rsid w:val="00071CDE"/>
    <w:rsid w:val="0007216E"/>
    <w:rsid w:val="00074A0C"/>
    <w:rsid w:val="0007636C"/>
    <w:rsid w:val="00076910"/>
    <w:rsid w:val="00081CC3"/>
    <w:rsid w:val="00091F93"/>
    <w:rsid w:val="00093C14"/>
    <w:rsid w:val="00093F11"/>
    <w:rsid w:val="00094AB1"/>
    <w:rsid w:val="00094AC2"/>
    <w:rsid w:val="00095654"/>
    <w:rsid w:val="000A0F97"/>
    <w:rsid w:val="000B4753"/>
    <w:rsid w:val="000B776A"/>
    <w:rsid w:val="000C1B19"/>
    <w:rsid w:val="000D183F"/>
    <w:rsid w:val="000D22D4"/>
    <w:rsid w:val="000D3F16"/>
    <w:rsid w:val="000D6B2D"/>
    <w:rsid w:val="000E054C"/>
    <w:rsid w:val="000E5155"/>
    <w:rsid w:val="000E6DEC"/>
    <w:rsid w:val="000F56A0"/>
    <w:rsid w:val="00100298"/>
    <w:rsid w:val="00101931"/>
    <w:rsid w:val="00101A57"/>
    <w:rsid w:val="00107A3A"/>
    <w:rsid w:val="00114E41"/>
    <w:rsid w:val="001165AF"/>
    <w:rsid w:val="00117AA8"/>
    <w:rsid w:val="001215C3"/>
    <w:rsid w:val="001217DA"/>
    <w:rsid w:val="00121E6A"/>
    <w:rsid w:val="00125CEF"/>
    <w:rsid w:val="00131A5C"/>
    <w:rsid w:val="0013380B"/>
    <w:rsid w:val="00140075"/>
    <w:rsid w:val="00141100"/>
    <w:rsid w:val="00141A7E"/>
    <w:rsid w:val="001459C6"/>
    <w:rsid w:val="00146196"/>
    <w:rsid w:val="0014761B"/>
    <w:rsid w:val="00154D72"/>
    <w:rsid w:val="00161381"/>
    <w:rsid w:val="00163309"/>
    <w:rsid w:val="00164258"/>
    <w:rsid w:val="001644EC"/>
    <w:rsid w:val="00164F5C"/>
    <w:rsid w:val="001665BE"/>
    <w:rsid w:val="00167EE0"/>
    <w:rsid w:val="001807EB"/>
    <w:rsid w:val="00180AD0"/>
    <w:rsid w:val="0018128E"/>
    <w:rsid w:val="001823DC"/>
    <w:rsid w:val="0018392B"/>
    <w:rsid w:val="00183E69"/>
    <w:rsid w:val="00183FCD"/>
    <w:rsid w:val="001845E7"/>
    <w:rsid w:val="00184EE1"/>
    <w:rsid w:val="001909CA"/>
    <w:rsid w:val="00190FA9"/>
    <w:rsid w:val="0019397D"/>
    <w:rsid w:val="0019475A"/>
    <w:rsid w:val="001A2A0E"/>
    <w:rsid w:val="001A316F"/>
    <w:rsid w:val="001A4DDF"/>
    <w:rsid w:val="001A7259"/>
    <w:rsid w:val="001B04FD"/>
    <w:rsid w:val="001B6FFA"/>
    <w:rsid w:val="001C10EA"/>
    <w:rsid w:val="001C1DD5"/>
    <w:rsid w:val="001C2271"/>
    <w:rsid w:val="001C4FC2"/>
    <w:rsid w:val="001C5DED"/>
    <w:rsid w:val="001C7784"/>
    <w:rsid w:val="001D0052"/>
    <w:rsid w:val="001D1163"/>
    <w:rsid w:val="001D289C"/>
    <w:rsid w:val="001D7391"/>
    <w:rsid w:val="001E2A3B"/>
    <w:rsid w:val="001E6451"/>
    <w:rsid w:val="001F2942"/>
    <w:rsid w:val="001F38C8"/>
    <w:rsid w:val="001F4C15"/>
    <w:rsid w:val="00207257"/>
    <w:rsid w:val="002153A1"/>
    <w:rsid w:val="00222188"/>
    <w:rsid w:val="00230234"/>
    <w:rsid w:val="002309E5"/>
    <w:rsid w:val="00232F25"/>
    <w:rsid w:val="00235CDA"/>
    <w:rsid w:val="00240618"/>
    <w:rsid w:val="00246226"/>
    <w:rsid w:val="0024681F"/>
    <w:rsid w:val="00246BB2"/>
    <w:rsid w:val="00247CA8"/>
    <w:rsid w:val="00251A1F"/>
    <w:rsid w:val="00253FDD"/>
    <w:rsid w:val="0025504F"/>
    <w:rsid w:val="00255E8D"/>
    <w:rsid w:val="002659A4"/>
    <w:rsid w:val="0026736C"/>
    <w:rsid w:val="00271EE1"/>
    <w:rsid w:val="0027746F"/>
    <w:rsid w:val="00277920"/>
    <w:rsid w:val="00281A23"/>
    <w:rsid w:val="0028346B"/>
    <w:rsid w:val="0028474E"/>
    <w:rsid w:val="0029045C"/>
    <w:rsid w:val="00295A8E"/>
    <w:rsid w:val="00296066"/>
    <w:rsid w:val="00296C64"/>
    <w:rsid w:val="002A108D"/>
    <w:rsid w:val="002A23F9"/>
    <w:rsid w:val="002A7E69"/>
    <w:rsid w:val="002B3C27"/>
    <w:rsid w:val="002B4E81"/>
    <w:rsid w:val="002B697D"/>
    <w:rsid w:val="002B6C48"/>
    <w:rsid w:val="002C00AC"/>
    <w:rsid w:val="002C144C"/>
    <w:rsid w:val="002C1B3A"/>
    <w:rsid w:val="002C55FF"/>
    <w:rsid w:val="002D13F0"/>
    <w:rsid w:val="002D2A85"/>
    <w:rsid w:val="002D3DF5"/>
    <w:rsid w:val="002D7089"/>
    <w:rsid w:val="002E45DD"/>
    <w:rsid w:val="002E6EEF"/>
    <w:rsid w:val="002F17B7"/>
    <w:rsid w:val="002F489F"/>
    <w:rsid w:val="003008FB"/>
    <w:rsid w:val="003039B5"/>
    <w:rsid w:val="00304315"/>
    <w:rsid w:val="0030488C"/>
    <w:rsid w:val="00304C7B"/>
    <w:rsid w:val="003066B1"/>
    <w:rsid w:val="00310443"/>
    <w:rsid w:val="00310BDE"/>
    <w:rsid w:val="00310EFE"/>
    <w:rsid w:val="00312132"/>
    <w:rsid w:val="00313371"/>
    <w:rsid w:val="00313384"/>
    <w:rsid w:val="00315BDC"/>
    <w:rsid w:val="0032110C"/>
    <w:rsid w:val="00321887"/>
    <w:rsid w:val="0032201B"/>
    <w:rsid w:val="003220D9"/>
    <w:rsid w:val="0032284B"/>
    <w:rsid w:val="00326067"/>
    <w:rsid w:val="00326308"/>
    <w:rsid w:val="00326CE6"/>
    <w:rsid w:val="00331B3E"/>
    <w:rsid w:val="003320BA"/>
    <w:rsid w:val="00332599"/>
    <w:rsid w:val="00335043"/>
    <w:rsid w:val="00335BD2"/>
    <w:rsid w:val="003534BF"/>
    <w:rsid w:val="00355390"/>
    <w:rsid w:val="003557C4"/>
    <w:rsid w:val="00355A84"/>
    <w:rsid w:val="00355BA0"/>
    <w:rsid w:val="00357BEF"/>
    <w:rsid w:val="003618B9"/>
    <w:rsid w:val="00362BA9"/>
    <w:rsid w:val="0036463A"/>
    <w:rsid w:val="0036565E"/>
    <w:rsid w:val="0036616B"/>
    <w:rsid w:val="00366A8B"/>
    <w:rsid w:val="00370984"/>
    <w:rsid w:val="00370EF0"/>
    <w:rsid w:val="00371C00"/>
    <w:rsid w:val="00372DEE"/>
    <w:rsid w:val="00373583"/>
    <w:rsid w:val="003758E5"/>
    <w:rsid w:val="00375A57"/>
    <w:rsid w:val="0037615D"/>
    <w:rsid w:val="0037798C"/>
    <w:rsid w:val="003829DB"/>
    <w:rsid w:val="00382D36"/>
    <w:rsid w:val="00383D6A"/>
    <w:rsid w:val="00385D90"/>
    <w:rsid w:val="0039261F"/>
    <w:rsid w:val="00397430"/>
    <w:rsid w:val="003974A6"/>
    <w:rsid w:val="003A3D3E"/>
    <w:rsid w:val="003A569B"/>
    <w:rsid w:val="003A744E"/>
    <w:rsid w:val="003B1233"/>
    <w:rsid w:val="003B4C65"/>
    <w:rsid w:val="003B71C0"/>
    <w:rsid w:val="003B7255"/>
    <w:rsid w:val="003C2060"/>
    <w:rsid w:val="003C23C0"/>
    <w:rsid w:val="003C2C0D"/>
    <w:rsid w:val="003C2E87"/>
    <w:rsid w:val="003C5957"/>
    <w:rsid w:val="003D254E"/>
    <w:rsid w:val="003D2B36"/>
    <w:rsid w:val="003D6ED8"/>
    <w:rsid w:val="003E187D"/>
    <w:rsid w:val="003E2353"/>
    <w:rsid w:val="003E4C2B"/>
    <w:rsid w:val="003E6DA8"/>
    <w:rsid w:val="003E755E"/>
    <w:rsid w:val="003F273E"/>
    <w:rsid w:val="003F274A"/>
    <w:rsid w:val="003F2C4F"/>
    <w:rsid w:val="003F31B9"/>
    <w:rsid w:val="003F36A8"/>
    <w:rsid w:val="003F56FE"/>
    <w:rsid w:val="00401114"/>
    <w:rsid w:val="0040186C"/>
    <w:rsid w:val="00404058"/>
    <w:rsid w:val="0041392A"/>
    <w:rsid w:val="00413B5E"/>
    <w:rsid w:val="00416552"/>
    <w:rsid w:val="00424528"/>
    <w:rsid w:val="004256B8"/>
    <w:rsid w:val="00427ECD"/>
    <w:rsid w:val="00434120"/>
    <w:rsid w:val="0043732A"/>
    <w:rsid w:val="00440885"/>
    <w:rsid w:val="004409FD"/>
    <w:rsid w:val="00440B31"/>
    <w:rsid w:val="00445A62"/>
    <w:rsid w:val="0044623C"/>
    <w:rsid w:val="00450E75"/>
    <w:rsid w:val="00451CB0"/>
    <w:rsid w:val="00454620"/>
    <w:rsid w:val="00457294"/>
    <w:rsid w:val="004603CE"/>
    <w:rsid w:val="00460D3D"/>
    <w:rsid w:val="00460D58"/>
    <w:rsid w:val="0046185E"/>
    <w:rsid w:val="00461CDA"/>
    <w:rsid w:val="0046401D"/>
    <w:rsid w:val="004672FB"/>
    <w:rsid w:val="00473538"/>
    <w:rsid w:val="004750DE"/>
    <w:rsid w:val="004762E8"/>
    <w:rsid w:val="00476A06"/>
    <w:rsid w:val="0048014C"/>
    <w:rsid w:val="00490DF1"/>
    <w:rsid w:val="00492AD8"/>
    <w:rsid w:val="00493392"/>
    <w:rsid w:val="0049349F"/>
    <w:rsid w:val="00497BC7"/>
    <w:rsid w:val="004A03D4"/>
    <w:rsid w:val="004A1356"/>
    <w:rsid w:val="004A5187"/>
    <w:rsid w:val="004A7FE1"/>
    <w:rsid w:val="004B1A81"/>
    <w:rsid w:val="004C0B03"/>
    <w:rsid w:val="004C127C"/>
    <w:rsid w:val="004C12F4"/>
    <w:rsid w:val="004C1DB7"/>
    <w:rsid w:val="004C2011"/>
    <w:rsid w:val="004C243B"/>
    <w:rsid w:val="004C5209"/>
    <w:rsid w:val="004C52E6"/>
    <w:rsid w:val="004C595F"/>
    <w:rsid w:val="004C6DA6"/>
    <w:rsid w:val="004D26D2"/>
    <w:rsid w:val="004D4915"/>
    <w:rsid w:val="004D525C"/>
    <w:rsid w:val="004D5F64"/>
    <w:rsid w:val="004DADAA"/>
    <w:rsid w:val="004E09CD"/>
    <w:rsid w:val="004E0B65"/>
    <w:rsid w:val="004E427A"/>
    <w:rsid w:val="004F15D3"/>
    <w:rsid w:val="004F3092"/>
    <w:rsid w:val="004F4151"/>
    <w:rsid w:val="004F5BBD"/>
    <w:rsid w:val="004F6A27"/>
    <w:rsid w:val="004F736C"/>
    <w:rsid w:val="00503651"/>
    <w:rsid w:val="00505C6E"/>
    <w:rsid w:val="00512209"/>
    <w:rsid w:val="00521F58"/>
    <w:rsid w:val="00524DC9"/>
    <w:rsid w:val="005251A1"/>
    <w:rsid w:val="00541B65"/>
    <w:rsid w:val="00544379"/>
    <w:rsid w:val="00552770"/>
    <w:rsid w:val="00552794"/>
    <w:rsid w:val="00560707"/>
    <w:rsid w:val="0056076E"/>
    <w:rsid w:val="00560F45"/>
    <w:rsid w:val="0056214C"/>
    <w:rsid w:val="005636B9"/>
    <w:rsid w:val="00571493"/>
    <w:rsid w:val="0057247E"/>
    <w:rsid w:val="00573C41"/>
    <w:rsid w:val="00580CA5"/>
    <w:rsid w:val="00582188"/>
    <w:rsid w:val="00593276"/>
    <w:rsid w:val="005952CF"/>
    <w:rsid w:val="005A0D40"/>
    <w:rsid w:val="005A105C"/>
    <w:rsid w:val="005A27FB"/>
    <w:rsid w:val="005A31A0"/>
    <w:rsid w:val="005A5042"/>
    <w:rsid w:val="005A572E"/>
    <w:rsid w:val="005B03BA"/>
    <w:rsid w:val="005B29E3"/>
    <w:rsid w:val="005B476F"/>
    <w:rsid w:val="005B4C6C"/>
    <w:rsid w:val="005B72EA"/>
    <w:rsid w:val="005B7E14"/>
    <w:rsid w:val="005C001C"/>
    <w:rsid w:val="005C191C"/>
    <w:rsid w:val="005C1CFD"/>
    <w:rsid w:val="005C2FAF"/>
    <w:rsid w:val="005C63A6"/>
    <w:rsid w:val="005C6F17"/>
    <w:rsid w:val="005D481C"/>
    <w:rsid w:val="005D6A37"/>
    <w:rsid w:val="005D7C1A"/>
    <w:rsid w:val="005D7D8D"/>
    <w:rsid w:val="005E161C"/>
    <w:rsid w:val="005F1C76"/>
    <w:rsid w:val="005F3184"/>
    <w:rsid w:val="005F61F3"/>
    <w:rsid w:val="005F630F"/>
    <w:rsid w:val="005F6C52"/>
    <w:rsid w:val="005F6DF7"/>
    <w:rsid w:val="005F74C0"/>
    <w:rsid w:val="006001AB"/>
    <w:rsid w:val="00610E97"/>
    <w:rsid w:val="00611B52"/>
    <w:rsid w:val="00611C56"/>
    <w:rsid w:val="0061338F"/>
    <w:rsid w:val="00614C86"/>
    <w:rsid w:val="00615512"/>
    <w:rsid w:val="00620B0E"/>
    <w:rsid w:val="0062261E"/>
    <w:rsid w:val="006235DF"/>
    <w:rsid w:val="0062360B"/>
    <w:rsid w:val="00626025"/>
    <w:rsid w:val="006317FF"/>
    <w:rsid w:val="00632BD7"/>
    <w:rsid w:val="00645782"/>
    <w:rsid w:val="00647A80"/>
    <w:rsid w:val="0065019E"/>
    <w:rsid w:val="0065162C"/>
    <w:rsid w:val="0065221B"/>
    <w:rsid w:val="006528AB"/>
    <w:rsid w:val="00653A71"/>
    <w:rsid w:val="00654DEB"/>
    <w:rsid w:val="006555E5"/>
    <w:rsid w:val="00655EB5"/>
    <w:rsid w:val="00660E8D"/>
    <w:rsid w:val="00662639"/>
    <w:rsid w:val="00663132"/>
    <w:rsid w:val="00671908"/>
    <w:rsid w:val="006755FB"/>
    <w:rsid w:val="0067646D"/>
    <w:rsid w:val="00680502"/>
    <w:rsid w:val="0068051E"/>
    <w:rsid w:val="00681351"/>
    <w:rsid w:val="0068497E"/>
    <w:rsid w:val="00687B4B"/>
    <w:rsid w:val="00691B12"/>
    <w:rsid w:val="006932EF"/>
    <w:rsid w:val="0069424B"/>
    <w:rsid w:val="00694502"/>
    <w:rsid w:val="006A2028"/>
    <w:rsid w:val="006A6010"/>
    <w:rsid w:val="006B4F88"/>
    <w:rsid w:val="006B6807"/>
    <w:rsid w:val="006B7411"/>
    <w:rsid w:val="006C25AB"/>
    <w:rsid w:val="006C2C95"/>
    <w:rsid w:val="006C30C4"/>
    <w:rsid w:val="006C5034"/>
    <w:rsid w:val="006C7164"/>
    <w:rsid w:val="006C72EA"/>
    <w:rsid w:val="006C7CDC"/>
    <w:rsid w:val="006D2E14"/>
    <w:rsid w:val="006D30CE"/>
    <w:rsid w:val="006D3C48"/>
    <w:rsid w:val="006E36A4"/>
    <w:rsid w:val="006E44BA"/>
    <w:rsid w:val="006E5663"/>
    <w:rsid w:val="006E647A"/>
    <w:rsid w:val="006E6E29"/>
    <w:rsid w:val="006F0EE8"/>
    <w:rsid w:val="006F2920"/>
    <w:rsid w:val="006F4803"/>
    <w:rsid w:val="006F4D74"/>
    <w:rsid w:val="006F58AF"/>
    <w:rsid w:val="006F6F32"/>
    <w:rsid w:val="0070191B"/>
    <w:rsid w:val="00703E4B"/>
    <w:rsid w:val="0070697A"/>
    <w:rsid w:val="0071217E"/>
    <w:rsid w:val="00712F33"/>
    <w:rsid w:val="00713E63"/>
    <w:rsid w:val="0071712E"/>
    <w:rsid w:val="0071729C"/>
    <w:rsid w:val="00720436"/>
    <w:rsid w:val="007239A0"/>
    <w:rsid w:val="00724BCE"/>
    <w:rsid w:val="00724D91"/>
    <w:rsid w:val="00725598"/>
    <w:rsid w:val="00725B0A"/>
    <w:rsid w:val="007264A5"/>
    <w:rsid w:val="00732C70"/>
    <w:rsid w:val="00743A30"/>
    <w:rsid w:val="00743FAF"/>
    <w:rsid w:val="00745615"/>
    <w:rsid w:val="00747052"/>
    <w:rsid w:val="00751D76"/>
    <w:rsid w:val="00754A5B"/>
    <w:rsid w:val="00757969"/>
    <w:rsid w:val="007606B1"/>
    <w:rsid w:val="0076073B"/>
    <w:rsid w:val="00761359"/>
    <w:rsid w:val="00771015"/>
    <w:rsid w:val="007724FF"/>
    <w:rsid w:val="00775ADA"/>
    <w:rsid w:val="0078254A"/>
    <w:rsid w:val="00787D63"/>
    <w:rsid w:val="007965AF"/>
    <w:rsid w:val="007A08F5"/>
    <w:rsid w:val="007A57A8"/>
    <w:rsid w:val="007A78DF"/>
    <w:rsid w:val="007B23E1"/>
    <w:rsid w:val="007B2F12"/>
    <w:rsid w:val="007B5F40"/>
    <w:rsid w:val="007B7F37"/>
    <w:rsid w:val="007C01AC"/>
    <w:rsid w:val="007C0EB1"/>
    <w:rsid w:val="007C3A15"/>
    <w:rsid w:val="007C4D57"/>
    <w:rsid w:val="007C54DA"/>
    <w:rsid w:val="007C6192"/>
    <w:rsid w:val="007C6A49"/>
    <w:rsid w:val="007C6D74"/>
    <w:rsid w:val="007C7E29"/>
    <w:rsid w:val="007D4B20"/>
    <w:rsid w:val="007D5130"/>
    <w:rsid w:val="007E1811"/>
    <w:rsid w:val="007E2330"/>
    <w:rsid w:val="007E329E"/>
    <w:rsid w:val="007E467B"/>
    <w:rsid w:val="007E4E4F"/>
    <w:rsid w:val="007E5D8C"/>
    <w:rsid w:val="007F0336"/>
    <w:rsid w:val="007F163F"/>
    <w:rsid w:val="007F497E"/>
    <w:rsid w:val="007F76A9"/>
    <w:rsid w:val="00801257"/>
    <w:rsid w:val="00803A45"/>
    <w:rsid w:val="008041AD"/>
    <w:rsid w:val="0080734B"/>
    <w:rsid w:val="008078E7"/>
    <w:rsid w:val="00807F38"/>
    <w:rsid w:val="00810DFB"/>
    <w:rsid w:val="008111CC"/>
    <w:rsid w:val="00822FCD"/>
    <w:rsid w:val="008260A1"/>
    <w:rsid w:val="00834B36"/>
    <w:rsid w:val="00835C17"/>
    <w:rsid w:val="00836531"/>
    <w:rsid w:val="00837F36"/>
    <w:rsid w:val="00844200"/>
    <w:rsid w:val="00844E37"/>
    <w:rsid w:val="00852E6D"/>
    <w:rsid w:val="00856409"/>
    <w:rsid w:val="00860C14"/>
    <w:rsid w:val="008612F7"/>
    <w:rsid w:val="00865796"/>
    <w:rsid w:val="008668F8"/>
    <w:rsid w:val="008705E7"/>
    <w:rsid w:val="00876C81"/>
    <w:rsid w:val="0088051A"/>
    <w:rsid w:val="00884CE9"/>
    <w:rsid w:val="00886045"/>
    <w:rsid w:val="0088706A"/>
    <w:rsid w:val="0089688B"/>
    <w:rsid w:val="008A3A09"/>
    <w:rsid w:val="008A4EAE"/>
    <w:rsid w:val="008B13B2"/>
    <w:rsid w:val="008B2F1B"/>
    <w:rsid w:val="008B4CDA"/>
    <w:rsid w:val="008B6224"/>
    <w:rsid w:val="008B6995"/>
    <w:rsid w:val="008C196F"/>
    <w:rsid w:val="008C519A"/>
    <w:rsid w:val="008D606C"/>
    <w:rsid w:val="008D6B34"/>
    <w:rsid w:val="008D7135"/>
    <w:rsid w:val="008E0791"/>
    <w:rsid w:val="008E455C"/>
    <w:rsid w:val="008E5330"/>
    <w:rsid w:val="008E684A"/>
    <w:rsid w:val="008F7DBB"/>
    <w:rsid w:val="0090413B"/>
    <w:rsid w:val="00905388"/>
    <w:rsid w:val="0090670C"/>
    <w:rsid w:val="00911640"/>
    <w:rsid w:val="00913262"/>
    <w:rsid w:val="00914396"/>
    <w:rsid w:val="0091447B"/>
    <w:rsid w:val="00922317"/>
    <w:rsid w:val="009232FF"/>
    <w:rsid w:val="00923973"/>
    <w:rsid w:val="00924D98"/>
    <w:rsid w:val="00927808"/>
    <w:rsid w:val="00931E52"/>
    <w:rsid w:val="00942B9F"/>
    <w:rsid w:val="009454C3"/>
    <w:rsid w:val="00946A24"/>
    <w:rsid w:val="00952223"/>
    <w:rsid w:val="00952A31"/>
    <w:rsid w:val="00952F2B"/>
    <w:rsid w:val="009551B1"/>
    <w:rsid w:val="00960937"/>
    <w:rsid w:val="009657A9"/>
    <w:rsid w:val="00966340"/>
    <w:rsid w:val="00970CA0"/>
    <w:rsid w:val="00971F0C"/>
    <w:rsid w:val="00972E7C"/>
    <w:rsid w:val="00977559"/>
    <w:rsid w:val="00980F72"/>
    <w:rsid w:val="009817A9"/>
    <w:rsid w:val="00981B5D"/>
    <w:rsid w:val="00982903"/>
    <w:rsid w:val="009852E8"/>
    <w:rsid w:val="00987FD9"/>
    <w:rsid w:val="00992188"/>
    <w:rsid w:val="00993875"/>
    <w:rsid w:val="009964D5"/>
    <w:rsid w:val="009A247D"/>
    <w:rsid w:val="009A6993"/>
    <w:rsid w:val="009A7998"/>
    <w:rsid w:val="009B0894"/>
    <w:rsid w:val="009B2506"/>
    <w:rsid w:val="009C077D"/>
    <w:rsid w:val="009C12C8"/>
    <w:rsid w:val="009C2AA6"/>
    <w:rsid w:val="009C4717"/>
    <w:rsid w:val="009C6503"/>
    <w:rsid w:val="009C6ABA"/>
    <w:rsid w:val="009D171A"/>
    <w:rsid w:val="009D7381"/>
    <w:rsid w:val="009D7FEE"/>
    <w:rsid w:val="009E1F3C"/>
    <w:rsid w:val="009E26BD"/>
    <w:rsid w:val="009E5728"/>
    <w:rsid w:val="009E5C1C"/>
    <w:rsid w:val="009E7C0A"/>
    <w:rsid w:val="009F24FC"/>
    <w:rsid w:val="00A019EC"/>
    <w:rsid w:val="00A02A9B"/>
    <w:rsid w:val="00A0714D"/>
    <w:rsid w:val="00A1151F"/>
    <w:rsid w:val="00A118D7"/>
    <w:rsid w:val="00A118E9"/>
    <w:rsid w:val="00A13567"/>
    <w:rsid w:val="00A170C0"/>
    <w:rsid w:val="00A26882"/>
    <w:rsid w:val="00A27E4A"/>
    <w:rsid w:val="00A3025C"/>
    <w:rsid w:val="00A324A2"/>
    <w:rsid w:val="00A33A7D"/>
    <w:rsid w:val="00A36798"/>
    <w:rsid w:val="00A45BE2"/>
    <w:rsid w:val="00A473A9"/>
    <w:rsid w:val="00A63E03"/>
    <w:rsid w:val="00A67C06"/>
    <w:rsid w:val="00A7246D"/>
    <w:rsid w:val="00A779FA"/>
    <w:rsid w:val="00A81862"/>
    <w:rsid w:val="00A86138"/>
    <w:rsid w:val="00A86A2E"/>
    <w:rsid w:val="00A8737B"/>
    <w:rsid w:val="00A875E8"/>
    <w:rsid w:val="00A87EB8"/>
    <w:rsid w:val="00A9039F"/>
    <w:rsid w:val="00A90E13"/>
    <w:rsid w:val="00A93BFB"/>
    <w:rsid w:val="00AA5360"/>
    <w:rsid w:val="00AB24E0"/>
    <w:rsid w:val="00AB2620"/>
    <w:rsid w:val="00AB6965"/>
    <w:rsid w:val="00AC001A"/>
    <w:rsid w:val="00AC0DF8"/>
    <w:rsid w:val="00AC24EE"/>
    <w:rsid w:val="00AC2525"/>
    <w:rsid w:val="00AC276A"/>
    <w:rsid w:val="00AC33BB"/>
    <w:rsid w:val="00AD3756"/>
    <w:rsid w:val="00AD3AD5"/>
    <w:rsid w:val="00AD4866"/>
    <w:rsid w:val="00AD7EC1"/>
    <w:rsid w:val="00AE14D7"/>
    <w:rsid w:val="00AE2B55"/>
    <w:rsid w:val="00AE32FE"/>
    <w:rsid w:val="00AE7D0E"/>
    <w:rsid w:val="00AF3F81"/>
    <w:rsid w:val="00AF663C"/>
    <w:rsid w:val="00B00C54"/>
    <w:rsid w:val="00B02BFB"/>
    <w:rsid w:val="00B02C8F"/>
    <w:rsid w:val="00B0362D"/>
    <w:rsid w:val="00B0775B"/>
    <w:rsid w:val="00B10428"/>
    <w:rsid w:val="00B11661"/>
    <w:rsid w:val="00B14CB9"/>
    <w:rsid w:val="00B172BA"/>
    <w:rsid w:val="00B22F66"/>
    <w:rsid w:val="00B26E5F"/>
    <w:rsid w:val="00B27D52"/>
    <w:rsid w:val="00B346AB"/>
    <w:rsid w:val="00B349FF"/>
    <w:rsid w:val="00B351D3"/>
    <w:rsid w:val="00B40C2B"/>
    <w:rsid w:val="00B42C90"/>
    <w:rsid w:val="00B42D37"/>
    <w:rsid w:val="00B433C1"/>
    <w:rsid w:val="00B43DAC"/>
    <w:rsid w:val="00B4441C"/>
    <w:rsid w:val="00B47D48"/>
    <w:rsid w:val="00B50E9D"/>
    <w:rsid w:val="00B56E53"/>
    <w:rsid w:val="00B6015D"/>
    <w:rsid w:val="00B603C5"/>
    <w:rsid w:val="00B7061D"/>
    <w:rsid w:val="00B71AF1"/>
    <w:rsid w:val="00B72BEB"/>
    <w:rsid w:val="00B736F4"/>
    <w:rsid w:val="00B74A02"/>
    <w:rsid w:val="00B7645E"/>
    <w:rsid w:val="00B76937"/>
    <w:rsid w:val="00B8192B"/>
    <w:rsid w:val="00B839F4"/>
    <w:rsid w:val="00B856C7"/>
    <w:rsid w:val="00B858F4"/>
    <w:rsid w:val="00B86643"/>
    <w:rsid w:val="00B92CE7"/>
    <w:rsid w:val="00B957F5"/>
    <w:rsid w:val="00B96D1E"/>
    <w:rsid w:val="00B9737C"/>
    <w:rsid w:val="00BA2C59"/>
    <w:rsid w:val="00BA2D56"/>
    <w:rsid w:val="00BA5720"/>
    <w:rsid w:val="00BA67FB"/>
    <w:rsid w:val="00BA690B"/>
    <w:rsid w:val="00BA6B4D"/>
    <w:rsid w:val="00BB163C"/>
    <w:rsid w:val="00BB29E9"/>
    <w:rsid w:val="00BC2206"/>
    <w:rsid w:val="00BC38BB"/>
    <w:rsid w:val="00BC5170"/>
    <w:rsid w:val="00BC75A8"/>
    <w:rsid w:val="00BD0A04"/>
    <w:rsid w:val="00BD2355"/>
    <w:rsid w:val="00BD3215"/>
    <w:rsid w:val="00BD33DC"/>
    <w:rsid w:val="00BD44DF"/>
    <w:rsid w:val="00BE0790"/>
    <w:rsid w:val="00BE0E56"/>
    <w:rsid w:val="00BE2616"/>
    <w:rsid w:val="00BE5D62"/>
    <w:rsid w:val="00BE75D0"/>
    <w:rsid w:val="00BF2074"/>
    <w:rsid w:val="00BF589E"/>
    <w:rsid w:val="00BF5C8C"/>
    <w:rsid w:val="00BF7D1C"/>
    <w:rsid w:val="00BF7DF8"/>
    <w:rsid w:val="00BF7F64"/>
    <w:rsid w:val="00C012F5"/>
    <w:rsid w:val="00C01583"/>
    <w:rsid w:val="00C03AB4"/>
    <w:rsid w:val="00C04A1C"/>
    <w:rsid w:val="00C04BEF"/>
    <w:rsid w:val="00C1072B"/>
    <w:rsid w:val="00C12328"/>
    <w:rsid w:val="00C1270F"/>
    <w:rsid w:val="00C1463F"/>
    <w:rsid w:val="00C16BCF"/>
    <w:rsid w:val="00C2094A"/>
    <w:rsid w:val="00C21D78"/>
    <w:rsid w:val="00C242E5"/>
    <w:rsid w:val="00C24B4D"/>
    <w:rsid w:val="00C25CF6"/>
    <w:rsid w:val="00C26352"/>
    <w:rsid w:val="00C274AD"/>
    <w:rsid w:val="00C3182A"/>
    <w:rsid w:val="00C3728C"/>
    <w:rsid w:val="00C41F70"/>
    <w:rsid w:val="00C4220D"/>
    <w:rsid w:val="00C46BAF"/>
    <w:rsid w:val="00C601D2"/>
    <w:rsid w:val="00C60B51"/>
    <w:rsid w:val="00C63C53"/>
    <w:rsid w:val="00C6414B"/>
    <w:rsid w:val="00C6486B"/>
    <w:rsid w:val="00C6566F"/>
    <w:rsid w:val="00C666D2"/>
    <w:rsid w:val="00C71833"/>
    <w:rsid w:val="00C722D6"/>
    <w:rsid w:val="00C7238D"/>
    <w:rsid w:val="00C82520"/>
    <w:rsid w:val="00C82F73"/>
    <w:rsid w:val="00C835D2"/>
    <w:rsid w:val="00C838F5"/>
    <w:rsid w:val="00C83D15"/>
    <w:rsid w:val="00C84431"/>
    <w:rsid w:val="00C86927"/>
    <w:rsid w:val="00C875BA"/>
    <w:rsid w:val="00C90E8B"/>
    <w:rsid w:val="00C9265F"/>
    <w:rsid w:val="00C946E6"/>
    <w:rsid w:val="00C950D7"/>
    <w:rsid w:val="00C9531B"/>
    <w:rsid w:val="00C96D4F"/>
    <w:rsid w:val="00C97706"/>
    <w:rsid w:val="00C978AC"/>
    <w:rsid w:val="00C97BE5"/>
    <w:rsid w:val="00CA14CE"/>
    <w:rsid w:val="00CA2D8F"/>
    <w:rsid w:val="00CA2E93"/>
    <w:rsid w:val="00CA3F81"/>
    <w:rsid w:val="00CA452F"/>
    <w:rsid w:val="00CB084E"/>
    <w:rsid w:val="00CB1379"/>
    <w:rsid w:val="00CB254C"/>
    <w:rsid w:val="00CB298F"/>
    <w:rsid w:val="00CB2D73"/>
    <w:rsid w:val="00CB3242"/>
    <w:rsid w:val="00CB3F07"/>
    <w:rsid w:val="00CB580B"/>
    <w:rsid w:val="00CB66DE"/>
    <w:rsid w:val="00CB6C06"/>
    <w:rsid w:val="00CB6F37"/>
    <w:rsid w:val="00CC1F03"/>
    <w:rsid w:val="00CC41D1"/>
    <w:rsid w:val="00CC53CA"/>
    <w:rsid w:val="00CC5835"/>
    <w:rsid w:val="00CD35C9"/>
    <w:rsid w:val="00CD7936"/>
    <w:rsid w:val="00CD7BD6"/>
    <w:rsid w:val="00CE1855"/>
    <w:rsid w:val="00CF5A53"/>
    <w:rsid w:val="00D00E29"/>
    <w:rsid w:val="00D01331"/>
    <w:rsid w:val="00D10BEF"/>
    <w:rsid w:val="00D10D0C"/>
    <w:rsid w:val="00D13E04"/>
    <w:rsid w:val="00D15E15"/>
    <w:rsid w:val="00D16EA5"/>
    <w:rsid w:val="00D22CC2"/>
    <w:rsid w:val="00D2507E"/>
    <w:rsid w:val="00D260D1"/>
    <w:rsid w:val="00D26C2C"/>
    <w:rsid w:val="00D34D12"/>
    <w:rsid w:val="00D35399"/>
    <w:rsid w:val="00D35A22"/>
    <w:rsid w:val="00D35B79"/>
    <w:rsid w:val="00D444F9"/>
    <w:rsid w:val="00D45BA0"/>
    <w:rsid w:val="00D46EC3"/>
    <w:rsid w:val="00D50280"/>
    <w:rsid w:val="00D52520"/>
    <w:rsid w:val="00D54D9E"/>
    <w:rsid w:val="00D56CE7"/>
    <w:rsid w:val="00D578E6"/>
    <w:rsid w:val="00D63228"/>
    <w:rsid w:val="00D63F7C"/>
    <w:rsid w:val="00D64A7B"/>
    <w:rsid w:val="00D704FB"/>
    <w:rsid w:val="00D70747"/>
    <w:rsid w:val="00D7393D"/>
    <w:rsid w:val="00D73B30"/>
    <w:rsid w:val="00D77800"/>
    <w:rsid w:val="00D8504A"/>
    <w:rsid w:val="00D858FC"/>
    <w:rsid w:val="00D92384"/>
    <w:rsid w:val="00D9338B"/>
    <w:rsid w:val="00D95788"/>
    <w:rsid w:val="00D95C1F"/>
    <w:rsid w:val="00DA15D0"/>
    <w:rsid w:val="00DA2052"/>
    <w:rsid w:val="00DA26E9"/>
    <w:rsid w:val="00DA41C9"/>
    <w:rsid w:val="00DA76AD"/>
    <w:rsid w:val="00DB10B3"/>
    <w:rsid w:val="00DB1BA8"/>
    <w:rsid w:val="00DB1E8E"/>
    <w:rsid w:val="00DB397D"/>
    <w:rsid w:val="00DC0D45"/>
    <w:rsid w:val="00DC1F2A"/>
    <w:rsid w:val="00DC3DE0"/>
    <w:rsid w:val="00DD3F02"/>
    <w:rsid w:val="00DD779E"/>
    <w:rsid w:val="00DE60C1"/>
    <w:rsid w:val="00DF3952"/>
    <w:rsid w:val="00DF4BDE"/>
    <w:rsid w:val="00E00940"/>
    <w:rsid w:val="00E01178"/>
    <w:rsid w:val="00E01B46"/>
    <w:rsid w:val="00E0353F"/>
    <w:rsid w:val="00E03EC8"/>
    <w:rsid w:val="00E042C7"/>
    <w:rsid w:val="00E078C5"/>
    <w:rsid w:val="00E07DD4"/>
    <w:rsid w:val="00E115CE"/>
    <w:rsid w:val="00E155D4"/>
    <w:rsid w:val="00E15A2B"/>
    <w:rsid w:val="00E17DA1"/>
    <w:rsid w:val="00E20C28"/>
    <w:rsid w:val="00E21447"/>
    <w:rsid w:val="00E242B6"/>
    <w:rsid w:val="00E30A2A"/>
    <w:rsid w:val="00E4047E"/>
    <w:rsid w:val="00E40B8B"/>
    <w:rsid w:val="00E40DD5"/>
    <w:rsid w:val="00E42E14"/>
    <w:rsid w:val="00E43488"/>
    <w:rsid w:val="00E43C58"/>
    <w:rsid w:val="00E53266"/>
    <w:rsid w:val="00E538F1"/>
    <w:rsid w:val="00E5788B"/>
    <w:rsid w:val="00E61101"/>
    <w:rsid w:val="00E63DC3"/>
    <w:rsid w:val="00E72D36"/>
    <w:rsid w:val="00E74934"/>
    <w:rsid w:val="00E81588"/>
    <w:rsid w:val="00E833EE"/>
    <w:rsid w:val="00E86223"/>
    <w:rsid w:val="00E9051F"/>
    <w:rsid w:val="00E90CBB"/>
    <w:rsid w:val="00E911CE"/>
    <w:rsid w:val="00E91213"/>
    <w:rsid w:val="00E93A3C"/>
    <w:rsid w:val="00E947AE"/>
    <w:rsid w:val="00E9773B"/>
    <w:rsid w:val="00EA14C2"/>
    <w:rsid w:val="00EA2E51"/>
    <w:rsid w:val="00EA3693"/>
    <w:rsid w:val="00EA3B19"/>
    <w:rsid w:val="00EA4F54"/>
    <w:rsid w:val="00EA5DE7"/>
    <w:rsid w:val="00EB0526"/>
    <w:rsid w:val="00EB0D7D"/>
    <w:rsid w:val="00EC1A05"/>
    <w:rsid w:val="00EC4CC5"/>
    <w:rsid w:val="00EC5FE0"/>
    <w:rsid w:val="00ED1B6B"/>
    <w:rsid w:val="00ED2E3A"/>
    <w:rsid w:val="00EE17B6"/>
    <w:rsid w:val="00EE19C9"/>
    <w:rsid w:val="00EE380A"/>
    <w:rsid w:val="00EE4506"/>
    <w:rsid w:val="00EE530C"/>
    <w:rsid w:val="00EE7550"/>
    <w:rsid w:val="00EF20D3"/>
    <w:rsid w:val="00EF2EEE"/>
    <w:rsid w:val="00EF3F80"/>
    <w:rsid w:val="00EF4BB8"/>
    <w:rsid w:val="00F00127"/>
    <w:rsid w:val="00F01048"/>
    <w:rsid w:val="00F01280"/>
    <w:rsid w:val="00F025AA"/>
    <w:rsid w:val="00F1064C"/>
    <w:rsid w:val="00F11966"/>
    <w:rsid w:val="00F16F71"/>
    <w:rsid w:val="00F21102"/>
    <w:rsid w:val="00F2247E"/>
    <w:rsid w:val="00F226E4"/>
    <w:rsid w:val="00F22E4B"/>
    <w:rsid w:val="00F236EF"/>
    <w:rsid w:val="00F32E45"/>
    <w:rsid w:val="00F336ED"/>
    <w:rsid w:val="00F337B4"/>
    <w:rsid w:val="00F347E8"/>
    <w:rsid w:val="00F41BA7"/>
    <w:rsid w:val="00F42B73"/>
    <w:rsid w:val="00F438A4"/>
    <w:rsid w:val="00F507BE"/>
    <w:rsid w:val="00F6490A"/>
    <w:rsid w:val="00F67821"/>
    <w:rsid w:val="00F708CE"/>
    <w:rsid w:val="00F7226C"/>
    <w:rsid w:val="00F7649A"/>
    <w:rsid w:val="00F77A03"/>
    <w:rsid w:val="00F80143"/>
    <w:rsid w:val="00F80D41"/>
    <w:rsid w:val="00F86228"/>
    <w:rsid w:val="00F8752F"/>
    <w:rsid w:val="00F91810"/>
    <w:rsid w:val="00F925A6"/>
    <w:rsid w:val="00F9341A"/>
    <w:rsid w:val="00F947A8"/>
    <w:rsid w:val="00F94960"/>
    <w:rsid w:val="00F95006"/>
    <w:rsid w:val="00F9565E"/>
    <w:rsid w:val="00F95E49"/>
    <w:rsid w:val="00FA02D6"/>
    <w:rsid w:val="00FA0D5F"/>
    <w:rsid w:val="00FA35A8"/>
    <w:rsid w:val="00FB2601"/>
    <w:rsid w:val="00FB3046"/>
    <w:rsid w:val="00FB3A33"/>
    <w:rsid w:val="00FB3E28"/>
    <w:rsid w:val="00FB728D"/>
    <w:rsid w:val="00FC4E1E"/>
    <w:rsid w:val="00FD02BF"/>
    <w:rsid w:val="00FD0B53"/>
    <w:rsid w:val="00FD19B2"/>
    <w:rsid w:val="00FD6318"/>
    <w:rsid w:val="00FE3525"/>
    <w:rsid w:val="00FE356D"/>
    <w:rsid w:val="00FF1CC9"/>
    <w:rsid w:val="00FF5AA6"/>
    <w:rsid w:val="024B342C"/>
    <w:rsid w:val="02E367FB"/>
    <w:rsid w:val="043308C9"/>
    <w:rsid w:val="047A3897"/>
    <w:rsid w:val="05949EA6"/>
    <w:rsid w:val="05B070FB"/>
    <w:rsid w:val="069BB052"/>
    <w:rsid w:val="06ED243C"/>
    <w:rsid w:val="07180A4C"/>
    <w:rsid w:val="08CF58A5"/>
    <w:rsid w:val="0A9E0DFB"/>
    <w:rsid w:val="0B157AC1"/>
    <w:rsid w:val="0B35409A"/>
    <w:rsid w:val="0BC33294"/>
    <w:rsid w:val="0BE3318C"/>
    <w:rsid w:val="0C0FFB1C"/>
    <w:rsid w:val="0CA583C2"/>
    <w:rsid w:val="0D339494"/>
    <w:rsid w:val="0DEFDAC6"/>
    <w:rsid w:val="0EF8C8D7"/>
    <w:rsid w:val="1063748E"/>
    <w:rsid w:val="12476BB1"/>
    <w:rsid w:val="12F15FB7"/>
    <w:rsid w:val="15EC254D"/>
    <w:rsid w:val="16BF3875"/>
    <w:rsid w:val="172395E2"/>
    <w:rsid w:val="18C32A50"/>
    <w:rsid w:val="18FCC489"/>
    <w:rsid w:val="19006DBD"/>
    <w:rsid w:val="19B12A77"/>
    <w:rsid w:val="1AF88395"/>
    <w:rsid w:val="1BC24200"/>
    <w:rsid w:val="1C0D256C"/>
    <w:rsid w:val="1C21189B"/>
    <w:rsid w:val="1C446E03"/>
    <w:rsid w:val="1D8EB0DC"/>
    <w:rsid w:val="1D9845F9"/>
    <w:rsid w:val="1DB506AC"/>
    <w:rsid w:val="1E467818"/>
    <w:rsid w:val="1FAFC4F8"/>
    <w:rsid w:val="1FDB0FF8"/>
    <w:rsid w:val="21C2C244"/>
    <w:rsid w:val="21E55C52"/>
    <w:rsid w:val="237BC6EC"/>
    <w:rsid w:val="23B2F548"/>
    <w:rsid w:val="23D687F6"/>
    <w:rsid w:val="24BD0CDB"/>
    <w:rsid w:val="257ADD04"/>
    <w:rsid w:val="267352B9"/>
    <w:rsid w:val="2707E2AD"/>
    <w:rsid w:val="27B836AE"/>
    <w:rsid w:val="28A9001B"/>
    <w:rsid w:val="2A01178C"/>
    <w:rsid w:val="2AB0C716"/>
    <w:rsid w:val="2B795614"/>
    <w:rsid w:val="2D7A00C3"/>
    <w:rsid w:val="2EBB805F"/>
    <w:rsid w:val="2FD68433"/>
    <w:rsid w:val="30AB3B00"/>
    <w:rsid w:val="313EF720"/>
    <w:rsid w:val="31C6D1BF"/>
    <w:rsid w:val="32808727"/>
    <w:rsid w:val="32F6149E"/>
    <w:rsid w:val="334FED39"/>
    <w:rsid w:val="3394DC60"/>
    <w:rsid w:val="3444A5BA"/>
    <w:rsid w:val="34E2C7D0"/>
    <w:rsid w:val="35925350"/>
    <w:rsid w:val="35AAF49D"/>
    <w:rsid w:val="35FC3388"/>
    <w:rsid w:val="36270D61"/>
    <w:rsid w:val="37370656"/>
    <w:rsid w:val="37D8CEBC"/>
    <w:rsid w:val="38CB0AE8"/>
    <w:rsid w:val="38F881F9"/>
    <w:rsid w:val="3A12D752"/>
    <w:rsid w:val="3B3A7721"/>
    <w:rsid w:val="3C514F3D"/>
    <w:rsid w:val="3C82B991"/>
    <w:rsid w:val="3D4AA115"/>
    <w:rsid w:val="3E29BFE7"/>
    <w:rsid w:val="3F21EEEC"/>
    <w:rsid w:val="3FAC4E9E"/>
    <w:rsid w:val="3FFDD754"/>
    <w:rsid w:val="40B7919D"/>
    <w:rsid w:val="40E95A9A"/>
    <w:rsid w:val="41794CE4"/>
    <w:rsid w:val="42EF232D"/>
    <w:rsid w:val="43683A7F"/>
    <w:rsid w:val="4388EB1C"/>
    <w:rsid w:val="453277A4"/>
    <w:rsid w:val="45C307FF"/>
    <w:rsid w:val="480B038D"/>
    <w:rsid w:val="48AB9A7C"/>
    <w:rsid w:val="4AEAFAC6"/>
    <w:rsid w:val="4C534ACD"/>
    <w:rsid w:val="4C7AB197"/>
    <w:rsid w:val="4E8B00FB"/>
    <w:rsid w:val="50D2B126"/>
    <w:rsid w:val="514FB6BF"/>
    <w:rsid w:val="51B3EEBA"/>
    <w:rsid w:val="538EC536"/>
    <w:rsid w:val="53B5D7BE"/>
    <w:rsid w:val="54CC4D3A"/>
    <w:rsid w:val="5526D800"/>
    <w:rsid w:val="55E0D1D4"/>
    <w:rsid w:val="5624A6E9"/>
    <w:rsid w:val="5714D1C3"/>
    <w:rsid w:val="579018FC"/>
    <w:rsid w:val="57FDE898"/>
    <w:rsid w:val="5857B97D"/>
    <w:rsid w:val="587D6D08"/>
    <w:rsid w:val="5A69DF7F"/>
    <w:rsid w:val="5AD68B49"/>
    <w:rsid w:val="5B3ACE66"/>
    <w:rsid w:val="5B670B16"/>
    <w:rsid w:val="5D2064BB"/>
    <w:rsid w:val="5D39E760"/>
    <w:rsid w:val="5D4D7FCF"/>
    <w:rsid w:val="5D9CAA93"/>
    <w:rsid w:val="5DF87716"/>
    <w:rsid w:val="5E9FD956"/>
    <w:rsid w:val="5F06F882"/>
    <w:rsid w:val="5F6549EB"/>
    <w:rsid w:val="5F697D62"/>
    <w:rsid w:val="5F6A396B"/>
    <w:rsid w:val="5F7B5CE6"/>
    <w:rsid w:val="5FDDF23C"/>
    <w:rsid w:val="6007B2DF"/>
    <w:rsid w:val="6071003E"/>
    <w:rsid w:val="61480AE9"/>
    <w:rsid w:val="61BC8C40"/>
    <w:rsid w:val="61D0F04A"/>
    <w:rsid w:val="621F8C52"/>
    <w:rsid w:val="6240EF37"/>
    <w:rsid w:val="625B5C2D"/>
    <w:rsid w:val="62A2FE87"/>
    <w:rsid w:val="62BA11BD"/>
    <w:rsid w:val="638002BF"/>
    <w:rsid w:val="63F6C851"/>
    <w:rsid w:val="64238905"/>
    <w:rsid w:val="64814CEE"/>
    <w:rsid w:val="64A2E104"/>
    <w:rsid w:val="652ACB69"/>
    <w:rsid w:val="65699801"/>
    <w:rsid w:val="65A7BBA5"/>
    <w:rsid w:val="66169641"/>
    <w:rsid w:val="669F6802"/>
    <w:rsid w:val="688C76E1"/>
    <w:rsid w:val="6913F42F"/>
    <w:rsid w:val="69168670"/>
    <w:rsid w:val="694A4E1F"/>
    <w:rsid w:val="699C19D2"/>
    <w:rsid w:val="69CA67C3"/>
    <w:rsid w:val="6A215115"/>
    <w:rsid w:val="6A851C3B"/>
    <w:rsid w:val="6B8E9FBC"/>
    <w:rsid w:val="6BB5D289"/>
    <w:rsid w:val="6C849F26"/>
    <w:rsid w:val="6E8FFABA"/>
    <w:rsid w:val="70186B84"/>
    <w:rsid w:val="70BD5435"/>
    <w:rsid w:val="714509BE"/>
    <w:rsid w:val="71B66179"/>
    <w:rsid w:val="72F89956"/>
    <w:rsid w:val="7382158D"/>
    <w:rsid w:val="742004E0"/>
    <w:rsid w:val="74EC90D0"/>
    <w:rsid w:val="75A209C1"/>
    <w:rsid w:val="78182F14"/>
    <w:rsid w:val="79C4618C"/>
    <w:rsid w:val="7A345A2E"/>
    <w:rsid w:val="7B2ED422"/>
    <w:rsid w:val="7B8A4610"/>
    <w:rsid w:val="7D014E61"/>
    <w:rsid w:val="7D46E723"/>
    <w:rsid w:val="7D7970BD"/>
    <w:rsid w:val="7DA280F8"/>
    <w:rsid w:val="7F0B6BF6"/>
    <w:rsid w:val="7F1DF5FD"/>
    <w:rsid w:val="7F6ECCE0"/>
    <w:rsid w:val="7F94CFA3"/>
    <w:rsid w:val="7FD8F6C9"/>
    <w:rsid w:val="7FF92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919B4"/>
  <w15:chartTrackingRefBased/>
  <w15:docId w15:val="{B1D4E849-76EA-4DBE-B22E-DCF2654C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6"/>
    <w:qFormat/>
    <w:rsid w:val="000A0F97"/>
    <w:pPr>
      <w:tabs>
        <w:tab w:val="left" w:pos="709"/>
        <w:tab w:val="left" w:pos="1418"/>
        <w:tab w:val="left" w:pos="2126"/>
        <w:tab w:val="left" w:pos="2835"/>
        <w:tab w:val="left" w:pos="3544"/>
        <w:tab w:val="left" w:pos="4253"/>
        <w:tab w:val="left" w:pos="4961"/>
        <w:tab w:val="left" w:pos="5670"/>
      </w:tabs>
      <w:jc w:val="both"/>
    </w:pPr>
    <w:rPr>
      <w:sz w:val="24"/>
    </w:rPr>
  </w:style>
  <w:style w:type="paragraph" w:styleId="Heading1">
    <w:name w:val="heading 1"/>
    <w:basedOn w:val="Normal"/>
    <w:next w:val="Normal"/>
    <w:semiHidden/>
    <w:qFormat/>
    <w:pPr>
      <w:keepNext/>
      <w:jc w:val="center"/>
      <w:outlineLvl w:val="0"/>
    </w:pPr>
    <w:rPr>
      <w:b/>
      <w:caps/>
      <w:sz w:val="28"/>
    </w:rPr>
  </w:style>
  <w:style w:type="paragraph" w:styleId="Heading2">
    <w:name w:val="heading 2"/>
    <w:basedOn w:val="Normal"/>
    <w:next w:val="Normal"/>
    <w:link w:val="Heading2Char"/>
    <w:semiHidden/>
    <w:qFormat/>
    <w:pPr>
      <w:keepNext/>
      <w:numPr>
        <w:ilvl w:val="12"/>
      </w:numPr>
      <w:outlineLvl w:val="1"/>
    </w:pPr>
    <w:rPr>
      <w:b/>
      <w:caps/>
    </w:rPr>
  </w:style>
  <w:style w:type="paragraph" w:styleId="Heading3">
    <w:name w:val="heading 3"/>
    <w:basedOn w:val="Normal"/>
    <w:next w:val="Normal"/>
    <w:semiHidden/>
    <w:qFormat/>
    <w:pPr>
      <w:keepNext/>
      <w:outlineLvl w:val="2"/>
    </w:pPr>
    <w:rPr>
      <w:b/>
      <w:caps/>
    </w:rPr>
  </w:style>
  <w:style w:type="paragraph" w:styleId="Heading4">
    <w:name w:val="heading 4"/>
    <w:basedOn w:val="Normal"/>
    <w:next w:val="Normal"/>
    <w:semiHidden/>
    <w:qFormat/>
    <w:pPr>
      <w:keepNext/>
      <w:numPr>
        <w:numId w:val="2"/>
      </w:numPr>
      <w:ind w:left="360" w:hanging="360"/>
      <w:jc w:val="center"/>
      <w:outlineLvl w:val="3"/>
    </w:pPr>
    <w:rPr>
      <w:b/>
      <w:caps/>
      <w:sz w:val="28"/>
    </w:rPr>
  </w:style>
  <w:style w:type="paragraph" w:styleId="Heading5">
    <w:name w:val="heading 5"/>
    <w:basedOn w:val="Normal"/>
    <w:next w:val="Normal"/>
    <w:semiHidden/>
    <w:qFormat/>
    <w:pPr>
      <w:keepNext/>
      <w:jc w:val="cente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ADInsertedText">
    <w:name w:val="BillADInsertedText"/>
    <w:basedOn w:val="Normal"/>
    <w:uiPriority w:val="12"/>
    <w:pPr>
      <w:tabs>
        <w:tab w:val="clear" w:pos="709"/>
        <w:tab w:val="clear" w:pos="1418"/>
        <w:tab w:val="clear" w:pos="2126"/>
        <w:tab w:val="clear" w:pos="2835"/>
        <w:tab w:val="clear" w:pos="3544"/>
        <w:tab w:val="clear" w:pos="4253"/>
        <w:tab w:val="clear" w:pos="4961"/>
        <w:tab w:val="clear" w:pos="5670"/>
      </w:tabs>
      <w:spacing w:after="120"/>
    </w:pPr>
  </w:style>
  <w:style w:type="paragraph" w:customStyle="1" w:styleId="BillADPara">
    <w:name w:val="BillADPara"/>
    <w:basedOn w:val="Normal"/>
    <w:autoRedefine/>
    <w:uiPriority w:val="7"/>
    <w:rsid w:val="00C950D7"/>
    <w:pPr>
      <w:numPr>
        <w:numId w:val="11"/>
      </w:numPr>
      <w:tabs>
        <w:tab w:val="clear" w:pos="709"/>
      </w:tabs>
      <w:spacing w:after="360"/>
    </w:pPr>
    <w:rPr>
      <w:color w:val="333333"/>
      <w:szCs w:val="24"/>
      <w:shd w:val="clear" w:color="auto" w:fill="FFFFFF"/>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spacing w:after="120"/>
      <w:ind w:left="1440" w:right="1440"/>
    </w:pPr>
  </w:style>
  <w:style w:type="paragraph" w:customStyle="1" w:styleId="BillADQuotedText">
    <w:name w:val="BillADQuotedText"/>
    <w:basedOn w:val="Normal"/>
    <w:uiPriority w:val="13"/>
    <w:pPr>
      <w:spacing w:after="360"/>
      <w:ind w:left="709"/>
    </w:pPr>
  </w:style>
  <w:style w:type="paragraph" w:customStyle="1" w:styleId="BillADHeading1">
    <w:name w:val="BillADHeading1"/>
    <w:basedOn w:val="Normal"/>
    <w:next w:val="BillADHeading2"/>
    <w:autoRedefine/>
    <w:rsid w:val="006D30CE"/>
    <w:pPr>
      <w:keepNext/>
      <w:keepLines/>
      <w:widowControl w:val="0"/>
      <w:spacing w:after="240"/>
      <w:jc w:val="center"/>
      <w:outlineLvl w:val="0"/>
    </w:pPr>
    <w:rPr>
      <w:b/>
      <w:caps/>
      <w:sz w:val="28"/>
    </w:rPr>
  </w:style>
  <w:style w:type="paragraph" w:customStyle="1" w:styleId="BillADHeading2">
    <w:name w:val="BillADHeading2"/>
    <w:basedOn w:val="Normal"/>
    <w:next w:val="BillADPara"/>
    <w:autoRedefine/>
    <w:uiPriority w:val="1"/>
    <w:rsid w:val="000D3F16"/>
    <w:pPr>
      <w:keepNext/>
      <w:keepLines/>
      <w:widowControl w:val="0"/>
      <w:spacing w:after="240"/>
      <w:outlineLvl w:val="1"/>
    </w:pPr>
    <w:rPr>
      <w:b/>
      <w:caps/>
    </w:rPr>
  </w:style>
  <w:style w:type="paragraph" w:customStyle="1" w:styleId="BillADHeading3">
    <w:name w:val="BillADHeading3"/>
    <w:basedOn w:val="Normal"/>
    <w:next w:val="BillADPara"/>
    <w:autoRedefine/>
    <w:uiPriority w:val="3"/>
    <w:rsid w:val="00D95788"/>
    <w:pPr>
      <w:keepNext/>
      <w:keepLines/>
      <w:widowControl w:val="0"/>
      <w:spacing w:after="240"/>
      <w:outlineLvl w:val="3"/>
    </w:pPr>
    <w:rPr>
      <w:b/>
    </w:rPr>
  </w:style>
  <w:style w:type="paragraph" w:customStyle="1" w:styleId="BillADHeading5">
    <w:name w:val="BillADHeading5"/>
    <w:basedOn w:val="Normal"/>
    <w:next w:val="BillADPara"/>
    <w:autoRedefine/>
    <w:uiPriority w:val="6"/>
    <w:rsid w:val="006A2028"/>
    <w:pPr>
      <w:keepNext/>
      <w:keepLines/>
      <w:widowControl w:val="0"/>
      <w:spacing w:after="120"/>
      <w:outlineLvl w:val="6"/>
    </w:pPr>
    <w:rPr>
      <w:b/>
      <w:bCs/>
      <w:iCs/>
      <w:u w:val="single"/>
    </w:rPr>
  </w:style>
  <w:style w:type="paragraph" w:customStyle="1" w:styleId="BillADSubPara">
    <w:name w:val="BillADSubPara"/>
    <w:basedOn w:val="Normal"/>
    <w:uiPriority w:val="11"/>
    <w:rsid w:val="008E684A"/>
    <w:pPr>
      <w:numPr>
        <w:numId w:val="4"/>
      </w:numPr>
      <w:spacing w:after="120"/>
      <w:ind w:left="1423" w:hanging="714"/>
    </w:pPr>
  </w:style>
  <w:style w:type="paragraph" w:customStyle="1" w:styleId="BillADBullet">
    <w:name w:val="BillADBullet"/>
    <w:basedOn w:val="Normal"/>
    <w:uiPriority w:val="9"/>
    <w:pPr>
      <w:numPr>
        <w:numId w:val="5"/>
      </w:numPr>
      <w:tabs>
        <w:tab w:val="clear" w:pos="360"/>
        <w:tab w:val="clear" w:pos="709"/>
        <w:tab w:val="left" w:pos="1134"/>
      </w:tabs>
      <w:spacing w:after="120"/>
      <w:ind w:left="1134" w:hanging="425"/>
    </w:pPr>
  </w:style>
  <w:style w:type="paragraph" w:styleId="Revision">
    <w:name w:val="Revision"/>
    <w:hidden/>
    <w:uiPriority w:val="99"/>
    <w:semiHidden/>
    <w:rsid w:val="0019397D"/>
    <w:rPr>
      <w:sz w:val="24"/>
    </w:rPr>
  </w:style>
  <w:style w:type="paragraph" w:styleId="BalloonText">
    <w:name w:val="Balloon Text"/>
    <w:basedOn w:val="Normal"/>
    <w:link w:val="BalloonTextChar"/>
    <w:uiPriority w:val="99"/>
    <w:semiHidden/>
    <w:unhideWhenUsed/>
    <w:rsid w:val="0019397D"/>
    <w:rPr>
      <w:rFonts w:ascii="Tahoma" w:hAnsi="Tahoma" w:cs="Tahoma"/>
      <w:sz w:val="16"/>
      <w:szCs w:val="16"/>
    </w:rPr>
  </w:style>
  <w:style w:type="character" w:customStyle="1" w:styleId="BalloonTextChar">
    <w:name w:val="Balloon Text Char"/>
    <w:link w:val="BalloonText"/>
    <w:uiPriority w:val="99"/>
    <w:semiHidden/>
    <w:rsid w:val="0019397D"/>
    <w:rPr>
      <w:rFonts w:ascii="Tahoma" w:hAnsi="Tahoma" w:cs="Tahoma"/>
      <w:sz w:val="16"/>
      <w:szCs w:val="16"/>
    </w:rPr>
  </w:style>
  <w:style w:type="paragraph" w:customStyle="1" w:styleId="BillADParaAfter6pt">
    <w:name w:val="BillADParaAfter6 pt"/>
    <w:basedOn w:val="BillADPara"/>
    <w:next w:val="BillADBullet"/>
    <w:autoRedefine/>
    <w:uiPriority w:val="8"/>
    <w:qFormat/>
    <w:rsid w:val="007239A0"/>
  </w:style>
  <w:style w:type="paragraph" w:customStyle="1" w:styleId="BillADBulletAfter18pt">
    <w:name w:val="BillADBulletAfter18pt"/>
    <w:basedOn w:val="Normal"/>
    <w:next w:val="BillADPara"/>
    <w:uiPriority w:val="10"/>
    <w:qFormat/>
    <w:rsid w:val="00E42E14"/>
    <w:pPr>
      <w:numPr>
        <w:numId w:val="6"/>
      </w:numPr>
      <w:tabs>
        <w:tab w:val="clear" w:pos="1418"/>
        <w:tab w:val="left" w:pos="1134"/>
      </w:tabs>
      <w:spacing w:after="360"/>
      <w:ind w:left="1134" w:hanging="425"/>
    </w:pPr>
  </w:style>
  <w:style w:type="character" w:customStyle="1" w:styleId="FooterChar">
    <w:name w:val="Footer Char"/>
    <w:link w:val="Footer"/>
    <w:uiPriority w:val="99"/>
    <w:rsid w:val="00F7649A"/>
    <w:rPr>
      <w:sz w:val="24"/>
    </w:rPr>
  </w:style>
  <w:style w:type="paragraph" w:customStyle="1" w:styleId="BillADAdditionalHeading1">
    <w:name w:val="BillADAdditionalHeading1"/>
    <w:basedOn w:val="BillADHeading3"/>
    <w:next w:val="BillADPara"/>
    <w:autoRedefine/>
    <w:uiPriority w:val="2"/>
    <w:qFormat/>
    <w:rsid w:val="00064BFC"/>
    <w:pPr>
      <w:outlineLvl w:val="2"/>
    </w:pPr>
  </w:style>
  <w:style w:type="paragraph" w:customStyle="1" w:styleId="BillADHeading4">
    <w:name w:val="BillADHeading4"/>
    <w:basedOn w:val="BillADHeading5"/>
    <w:next w:val="BillADPara"/>
    <w:autoRedefine/>
    <w:uiPriority w:val="4"/>
    <w:qFormat/>
    <w:rsid w:val="000500E2"/>
    <w:pPr>
      <w:spacing w:after="180"/>
      <w:outlineLvl w:val="4"/>
    </w:pPr>
    <w:rPr>
      <w:iCs w:val="0"/>
      <w:u w:val="none"/>
    </w:rPr>
  </w:style>
  <w:style w:type="paragraph" w:customStyle="1" w:styleId="BillADAdditionalHeading2">
    <w:name w:val="BillADAdditionalHeading2"/>
    <w:basedOn w:val="BillADHeading4"/>
    <w:next w:val="BillADPara"/>
    <w:autoRedefine/>
    <w:uiPriority w:val="5"/>
    <w:qFormat/>
    <w:rsid w:val="006755FB"/>
    <w:pPr>
      <w:outlineLvl w:val="5"/>
    </w:pPr>
    <w:rPr>
      <w:bCs w:val="0"/>
    </w:rPr>
  </w:style>
  <w:style w:type="character" w:styleId="Hyperlink">
    <w:name w:val="Hyperlink"/>
    <w:uiPriority w:val="99"/>
    <w:unhideWhenUsed/>
    <w:rsid w:val="00886045"/>
    <w:rPr>
      <w:color w:val="0000FF"/>
      <w:u w:val="single"/>
    </w:rPr>
  </w:style>
  <w:style w:type="paragraph" w:customStyle="1" w:styleId="18ptBold">
    <w:name w:val="18 pt Bold"/>
    <w:basedOn w:val="Normal"/>
    <w:autoRedefine/>
    <w:uiPriority w:val="16"/>
    <w:qFormat/>
    <w:rsid w:val="006755FB"/>
    <w:pPr>
      <w:jc w:val="center"/>
    </w:pPr>
    <w:rPr>
      <w:b/>
      <w:bCs/>
      <w:caps/>
      <w:sz w:val="36"/>
    </w:rPr>
  </w:style>
  <w:style w:type="paragraph" w:customStyle="1" w:styleId="BillADTitleAtEnd">
    <w:name w:val="BillADTitleAtEnd"/>
    <w:basedOn w:val="BillADHeading1"/>
    <w:autoRedefine/>
    <w:uiPriority w:val="16"/>
    <w:qFormat/>
    <w:rsid w:val="00451CB0"/>
    <w:pPr>
      <w:outlineLvl w:val="9"/>
    </w:pPr>
  </w:style>
  <w:style w:type="paragraph" w:styleId="FootnoteText">
    <w:name w:val="footnote text"/>
    <w:basedOn w:val="Normal"/>
    <w:link w:val="FootnoteTextChar"/>
    <w:uiPriority w:val="99"/>
    <w:unhideWhenUsed/>
    <w:rsid w:val="00645782"/>
    <w:rPr>
      <w:sz w:val="20"/>
    </w:rPr>
  </w:style>
  <w:style w:type="character" w:customStyle="1" w:styleId="FootnoteTextChar">
    <w:name w:val="Footnote Text Char"/>
    <w:basedOn w:val="DefaultParagraphFont"/>
    <w:link w:val="FootnoteText"/>
    <w:uiPriority w:val="99"/>
    <w:rsid w:val="00645782"/>
  </w:style>
  <w:style w:type="character" w:styleId="FootnoteReference">
    <w:name w:val="footnote reference"/>
    <w:basedOn w:val="DefaultParagraphFont"/>
    <w:uiPriority w:val="99"/>
    <w:semiHidden/>
    <w:unhideWhenUsed/>
    <w:rsid w:val="00645782"/>
    <w:rPr>
      <w:vertAlign w:val="superscript"/>
    </w:rPr>
  </w:style>
  <w:style w:type="character" w:customStyle="1" w:styleId="externallink">
    <w:name w:val="externallink"/>
    <w:basedOn w:val="DefaultParagraphFont"/>
    <w:rsid w:val="006F0EE8"/>
  </w:style>
  <w:style w:type="character" w:customStyle="1" w:styleId="xlsexternal">
    <w:name w:val="xls_external"/>
    <w:basedOn w:val="DefaultParagraphFont"/>
    <w:rsid w:val="006F0EE8"/>
  </w:style>
  <w:style w:type="character" w:styleId="FollowedHyperlink">
    <w:name w:val="FollowedHyperlink"/>
    <w:basedOn w:val="DefaultParagraphFont"/>
    <w:uiPriority w:val="99"/>
    <w:semiHidden/>
    <w:unhideWhenUsed/>
    <w:rsid w:val="00A86A2E"/>
    <w:rPr>
      <w:color w:val="954F72" w:themeColor="followedHyperlink"/>
      <w:u w:val="single"/>
    </w:rPr>
  </w:style>
  <w:style w:type="character" w:styleId="UnresolvedMention">
    <w:name w:val="Unresolved Mention"/>
    <w:basedOn w:val="DefaultParagraphFont"/>
    <w:uiPriority w:val="99"/>
    <w:semiHidden/>
    <w:unhideWhenUsed/>
    <w:rsid w:val="00BC38BB"/>
    <w:rPr>
      <w:color w:val="605E5C"/>
      <w:shd w:val="clear" w:color="auto" w:fill="E1DFDD"/>
    </w:rPr>
  </w:style>
  <w:style w:type="character" w:styleId="CommentReference">
    <w:name w:val="annotation reference"/>
    <w:basedOn w:val="DefaultParagraphFont"/>
    <w:uiPriority w:val="99"/>
    <w:semiHidden/>
    <w:unhideWhenUsed/>
    <w:rsid w:val="0041392A"/>
    <w:rPr>
      <w:sz w:val="16"/>
      <w:szCs w:val="16"/>
    </w:rPr>
  </w:style>
  <w:style w:type="paragraph" w:styleId="CommentText">
    <w:name w:val="annotation text"/>
    <w:basedOn w:val="Normal"/>
    <w:link w:val="CommentTextChar"/>
    <w:uiPriority w:val="99"/>
    <w:unhideWhenUsed/>
    <w:rsid w:val="0041392A"/>
    <w:pPr>
      <w:tabs>
        <w:tab w:val="clear" w:pos="709"/>
        <w:tab w:val="clear" w:pos="1418"/>
        <w:tab w:val="clear" w:pos="2126"/>
        <w:tab w:val="clear" w:pos="2835"/>
        <w:tab w:val="clear" w:pos="3544"/>
        <w:tab w:val="clear" w:pos="4253"/>
        <w:tab w:val="clear" w:pos="4961"/>
        <w:tab w:val="clear" w:pos="5670"/>
      </w:tabs>
    </w:pPr>
    <w:rPr>
      <w:rFonts w:asciiTheme="minorHAnsi" w:eastAsiaTheme="minorHAnsi" w:hAnsiTheme="minorHAnsi" w:cstheme="minorBidi"/>
      <w:color w:val="000000" w:themeColor="text1"/>
      <w:sz w:val="20"/>
      <w:lang w:eastAsia="en-US"/>
    </w:rPr>
  </w:style>
  <w:style w:type="character" w:customStyle="1" w:styleId="CommentTextChar">
    <w:name w:val="Comment Text Char"/>
    <w:basedOn w:val="DefaultParagraphFont"/>
    <w:link w:val="CommentText"/>
    <w:uiPriority w:val="99"/>
    <w:rsid w:val="0041392A"/>
    <w:rPr>
      <w:rFonts w:asciiTheme="minorHAnsi" w:eastAsiaTheme="minorHAnsi" w:hAnsiTheme="minorHAnsi" w:cstheme="minorBidi"/>
      <w:color w:val="000000" w:themeColor="text1"/>
      <w:lang w:eastAsia="en-US"/>
    </w:rPr>
  </w:style>
  <w:style w:type="table" w:styleId="TableGrid">
    <w:name w:val="Table Grid"/>
    <w:basedOn w:val="TableNormal"/>
    <w:uiPriority w:val="39"/>
    <w:rsid w:val="00EF2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99"/>
    <w:rsid w:val="00EF2EEE"/>
    <w:pPr>
      <w:tabs>
        <w:tab w:val="clear" w:pos="709"/>
        <w:tab w:val="clear" w:pos="1418"/>
        <w:tab w:val="clear" w:pos="2126"/>
        <w:tab w:val="clear" w:pos="2835"/>
        <w:tab w:val="clear" w:pos="3544"/>
        <w:tab w:val="clear" w:pos="4253"/>
        <w:tab w:val="clear" w:pos="4961"/>
        <w:tab w:val="clear" w:pos="5670"/>
      </w:tabs>
      <w:spacing w:before="100" w:beforeAutospacing="1" w:after="100" w:afterAutospacing="1"/>
      <w:jc w:val="left"/>
    </w:pPr>
    <w:rPr>
      <w:szCs w:val="24"/>
    </w:rPr>
  </w:style>
  <w:style w:type="character" w:customStyle="1" w:styleId="normaltextrun">
    <w:name w:val="normaltextrun"/>
    <w:basedOn w:val="DefaultParagraphFont"/>
    <w:rsid w:val="00EF2EEE"/>
  </w:style>
  <w:style w:type="character" w:customStyle="1" w:styleId="eop">
    <w:name w:val="eop"/>
    <w:basedOn w:val="DefaultParagraphFont"/>
    <w:rsid w:val="00EF2EEE"/>
  </w:style>
  <w:style w:type="paragraph" w:styleId="CommentSubject">
    <w:name w:val="annotation subject"/>
    <w:basedOn w:val="CommentText"/>
    <w:next w:val="CommentText"/>
    <w:link w:val="CommentSubjectChar"/>
    <w:uiPriority w:val="99"/>
    <w:semiHidden/>
    <w:unhideWhenUsed/>
    <w:rsid w:val="00A019EC"/>
    <w:pPr>
      <w:tabs>
        <w:tab w:val="left" w:pos="709"/>
        <w:tab w:val="left" w:pos="1418"/>
        <w:tab w:val="left" w:pos="2126"/>
        <w:tab w:val="left" w:pos="2835"/>
        <w:tab w:val="left" w:pos="3544"/>
        <w:tab w:val="left" w:pos="4253"/>
        <w:tab w:val="left" w:pos="4961"/>
        <w:tab w:val="left" w:pos="5670"/>
      </w:tabs>
    </w:pPr>
    <w:rPr>
      <w:rFonts w:ascii="Times New Roman" w:eastAsia="Times New Roman" w:hAnsi="Times New Roman" w:cs="Times New Roman"/>
      <w:b/>
      <w:bCs/>
      <w:color w:val="auto"/>
      <w:lang w:eastAsia="en-GB"/>
    </w:rPr>
  </w:style>
  <w:style w:type="character" w:customStyle="1" w:styleId="CommentSubjectChar">
    <w:name w:val="Comment Subject Char"/>
    <w:basedOn w:val="CommentTextChar"/>
    <w:link w:val="CommentSubject"/>
    <w:uiPriority w:val="99"/>
    <w:semiHidden/>
    <w:rsid w:val="00A019EC"/>
    <w:rPr>
      <w:rFonts w:asciiTheme="minorHAnsi" w:eastAsiaTheme="minorHAnsi" w:hAnsiTheme="minorHAnsi" w:cstheme="minorBidi"/>
      <w:b/>
      <w:bCs/>
      <w:color w:val="000000" w:themeColor="text1"/>
      <w:lang w:eastAsia="en-US"/>
    </w:rPr>
  </w:style>
  <w:style w:type="character" w:styleId="Strong">
    <w:name w:val="Strong"/>
    <w:basedOn w:val="DefaultParagraphFont"/>
    <w:uiPriority w:val="22"/>
    <w:qFormat/>
    <w:rsid w:val="00B4441C"/>
    <w:rPr>
      <w:b/>
      <w:bCs/>
    </w:rPr>
  </w:style>
  <w:style w:type="paragraph" w:styleId="NormalWeb">
    <w:name w:val="Normal (Web)"/>
    <w:basedOn w:val="Normal"/>
    <w:uiPriority w:val="99"/>
    <w:unhideWhenUsed/>
    <w:rsid w:val="00EA4F54"/>
    <w:pPr>
      <w:tabs>
        <w:tab w:val="clear" w:pos="709"/>
        <w:tab w:val="clear" w:pos="1418"/>
        <w:tab w:val="clear" w:pos="2126"/>
        <w:tab w:val="clear" w:pos="2835"/>
        <w:tab w:val="clear" w:pos="3544"/>
        <w:tab w:val="clear" w:pos="4253"/>
        <w:tab w:val="clear" w:pos="4961"/>
        <w:tab w:val="clear" w:pos="5670"/>
      </w:tabs>
      <w:spacing w:before="100" w:beforeAutospacing="1" w:after="100" w:afterAutospacing="1"/>
      <w:jc w:val="left"/>
    </w:pPr>
    <w:rPr>
      <w:rFonts w:ascii="Calibri" w:eastAsiaTheme="minorHAnsi" w:hAnsi="Calibri" w:cs="Calibri"/>
      <w:sz w:val="22"/>
      <w:szCs w:val="22"/>
    </w:rPr>
  </w:style>
  <w:style w:type="character" w:customStyle="1" w:styleId="findhit">
    <w:name w:val="findhit"/>
    <w:basedOn w:val="DefaultParagraphFont"/>
    <w:rsid w:val="00EA4F54"/>
  </w:style>
  <w:style w:type="paragraph" w:styleId="ListParagraph">
    <w:name w:val="List Paragraph"/>
    <w:basedOn w:val="Normal"/>
    <w:uiPriority w:val="34"/>
    <w:qFormat/>
    <w:rsid w:val="00BA690B"/>
    <w:pPr>
      <w:tabs>
        <w:tab w:val="clear" w:pos="709"/>
        <w:tab w:val="clear" w:pos="1418"/>
        <w:tab w:val="clear" w:pos="2126"/>
        <w:tab w:val="clear" w:pos="2835"/>
        <w:tab w:val="clear" w:pos="3544"/>
        <w:tab w:val="clear" w:pos="4253"/>
        <w:tab w:val="clear" w:pos="4961"/>
        <w:tab w:val="clear" w:pos="5670"/>
      </w:tabs>
      <w:ind w:left="720"/>
      <w:jc w:val="left"/>
    </w:pPr>
    <w:rPr>
      <w:rFonts w:ascii="Calibri" w:eastAsiaTheme="minorHAnsi" w:hAnsi="Calibri" w:cs="Calibri"/>
      <w:sz w:val="22"/>
      <w:szCs w:val="22"/>
      <w:lang w:eastAsia="en-US"/>
    </w:rPr>
  </w:style>
  <w:style w:type="paragraph" w:customStyle="1" w:styleId="preamble-small">
    <w:name w:val="preamble-small"/>
    <w:basedOn w:val="Normal"/>
    <w:rsid w:val="00AE2B55"/>
    <w:pPr>
      <w:tabs>
        <w:tab w:val="clear" w:pos="709"/>
        <w:tab w:val="clear" w:pos="1418"/>
        <w:tab w:val="clear" w:pos="2126"/>
        <w:tab w:val="clear" w:pos="2835"/>
        <w:tab w:val="clear" w:pos="3544"/>
        <w:tab w:val="clear" w:pos="4253"/>
        <w:tab w:val="clear" w:pos="4961"/>
        <w:tab w:val="clear" w:pos="5670"/>
      </w:tabs>
      <w:spacing w:before="100" w:beforeAutospacing="1" w:after="100" w:afterAutospacing="1"/>
      <w:jc w:val="left"/>
    </w:pPr>
    <w:rPr>
      <w:szCs w:val="24"/>
    </w:rPr>
  </w:style>
  <w:style w:type="character" w:customStyle="1" w:styleId="calign">
    <w:name w:val="calign"/>
    <w:basedOn w:val="DefaultParagraphFont"/>
    <w:rsid w:val="00BA6B4D"/>
  </w:style>
  <w:style w:type="character" w:customStyle="1" w:styleId="lalign">
    <w:name w:val="lalign"/>
    <w:basedOn w:val="DefaultParagraphFont"/>
    <w:rsid w:val="00BA6B4D"/>
  </w:style>
  <w:style w:type="character" w:customStyle="1" w:styleId="Heading2Char">
    <w:name w:val="Heading 2 Char"/>
    <w:basedOn w:val="DefaultParagraphFont"/>
    <w:link w:val="Heading2"/>
    <w:semiHidden/>
    <w:rsid w:val="00F025AA"/>
    <w:rPr>
      <w:b/>
      <w:caps/>
      <w:sz w:val="24"/>
    </w:rPr>
  </w:style>
  <w:style w:type="paragraph" w:customStyle="1" w:styleId="BodyText1">
    <w:name w:val="Body Text 1"/>
    <w:basedOn w:val="BodyText"/>
    <w:uiPriority w:val="10"/>
    <w:qFormat/>
    <w:rsid w:val="00F025AA"/>
    <w:pPr>
      <w:tabs>
        <w:tab w:val="clear" w:pos="709"/>
        <w:tab w:val="clear" w:pos="1418"/>
        <w:tab w:val="clear" w:pos="2126"/>
        <w:tab w:val="clear" w:pos="2835"/>
        <w:tab w:val="clear" w:pos="3544"/>
        <w:tab w:val="clear" w:pos="4253"/>
        <w:tab w:val="clear" w:pos="4961"/>
        <w:tab w:val="clear" w:pos="5670"/>
      </w:tabs>
      <w:spacing w:after="240" w:line="360" w:lineRule="auto"/>
    </w:pPr>
    <w:rPr>
      <w:rFonts w:asciiTheme="minorHAnsi" w:eastAsiaTheme="minorHAnsi" w:hAnsiTheme="minorHAnsi" w:cstheme="minorBidi"/>
      <w:color w:val="000000" w:themeColor="text1"/>
      <w:sz w:val="20"/>
      <w:szCs w:val="22"/>
      <w:lang w:eastAsia="en-US"/>
    </w:rPr>
  </w:style>
  <w:style w:type="paragraph" w:customStyle="1" w:styleId="Level1Heading">
    <w:name w:val="Level 1 Heading"/>
    <w:basedOn w:val="BodyText"/>
    <w:uiPriority w:val="9"/>
    <w:qFormat/>
    <w:rsid w:val="00F025AA"/>
    <w:pPr>
      <w:keepNext/>
      <w:numPr>
        <w:numId w:val="8"/>
      </w:numPr>
      <w:tabs>
        <w:tab w:val="clear" w:pos="720"/>
        <w:tab w:val="clear" w:pos="1418"/>
        <w:tab w:val="clear" w:pos="2126"/>
        <w:tab w:val="clear" w:pos="2835"/>
        <w:tab w:val="clear" w:pos="3544"/>
        <w:tab w:val="clear" w:pos="4253"/>
        <w:tab w:val="clear" w:pos="4961"/>
        <w:tab w:val="clear" w:pos="5670"/>
        <w:tab w:val="num" w:pos="360"/>
        <w:tab w:val="left" w:pos="709"/>
      </w:tabs>
      <w:spacing w:after="240" w:line="360" w:lineRule="auto"/>
      <w:ind w:left="360" w:hanging="360"/>
      <w:outlineLvl w:val="0"/>
    </w:pPr>
    <w:rPr>
      <w:rFonts w:asciiTheme="minorHAnsi" w:eastAsiaTheme="minorHAnsi" w:hAnsiTheme="minorHAnsi" w:cstheme="minorBidi"/>
      <w:b/>
      <w:color w:val="000000" w:themeColor="text1"/>
      <w:sz w:val="20"/>
      <w:szCs w:val="22"/>
      <w:lang w:eastAsia="en-US"/>
    </w:rPr>
  </w:style>
  <w:style w:type="paragraph" w:customStyle="1" w:styleId="Level2Number">
    <w:name w:val="Level 2 Number"/>
    <w:basedOn w:val="BodyText"/>
    <w:uiPriority w:val="9"/>
    <w:qFormat/>
    <w:rsid w:val="00F025AA"/>
    <w:pPr>
      <w:numPr>
        <w:ilvl w:val="1"/>
        <w:numId w:val="8"/>
      </w:numPr>
      <w:tabs>
        <w:tab w:val="clear" w:pos="720"/>
        <w:tab w:val="clear" w:pos="1418"/>
        <w:tab w:val="clear" w:pos="2126"/>
        <w:tab w:val="clear" w:pos="2835"/>
        <w:tab w:val="clear" w:pos="3544"/>
        <w:tab w:val="clear" w:pos="4253"/>
        <w:tab w:val="clear" w:pos="4961"/>
        <w:tab w:val="clear" w:pos="5670"/>
        <w:tab w:val="num" w:pos="360"/>
        <w:tab w:val="left" w:pos="709"/>
      </w:tabs>
      <w:spacing w:after="240" w:line="360" w:lineRule="auto"/>
      <w:ind w:left="360" w:hanging="360"/>
      <w:outlineLvl w:val="1"/>
    </w:pPr>
    <w:rPr>
      <w:rFonts w:asciiTheme="minorHAnsi" w:eastAsiaTheme="minorHAnsi" w:hAnsiTheme="minorHAnsi" w:cstheme="minorBidi"/>
      <w:color w:val="000000" w:themeColor="text1"/>
      <w:sz w:val="20"/>
      <w:szCs w:val="22"/>
      <w:lang w:eastAsia="en-US"/>
    </w:rPr>
  </w:style>
  <w:style w:type="paragraph" w:customStyle="1" w:styleId="Level3Number">
    <w:name w:val="Level 3 Number"/>
    <w:basedOn w:val="BodyText"/>
    <w:uiPriority w:val="14"/>
    <w:qFormat/>
    <w:rsid w:val="00F025AA"/>
    <w:pPr>
      <w:numPr>
        <w:ilvl w:val="2"/>
        <w:numId w:val="8"/>
      </w:numPr>
      <w:tabs>
        <w:tab w:val="clear" w:pos="709"/>
        <w:tab w:val="clear" w:pos="1418"/>
        <w:tab w:val="clear" w:pos="1728"/>
        <w:tab w:val="clear" w:pos="2126"/>
        <w:tab w:val="clear" w:pos="2835"/>
        <w:tab w:val="clear" w:pos="3544"/>
        <w:tab w:val="clear" w:pos="4253"/>
        <w:tab w:val="clear" w:pos="4961"/>
        <w:tab w:val="clear" w:pos="5670"/>
        <w:tab w:val="num" w:pos="360"/>
      </w:tabs>
      <w:spacing w:after="240" w:line="360" w:lineRule="auto"/>
      <w:ind w:left="360" w:hanging="360"/>
      <w:outlineLvl w:val="2"/>
    </w:pPr>
    <w:rPr>
      <w:rFonts w:asciiTheme="minorHAnsi" w:eastAsiaTheme="minorHAnsi" w:hAnsiTheme="minorHAnsi" w:cstheme="minorBidi"/>
      <w:color w:val="000000" w:themeColor="text1"/>
      <w:sz w:val="20"/>
      <w:szCs w:val="22"/>
      <w:lang w:eastAsia="en-US"/>
    </w:rPr>
  </w:style>
  <w:style w:type="paragraph" w:customStyle="1" w:styleId="Level4Number">
    <w:name w:val="Level 4 Number"/>
    <w:basedOn w:val="BodyText"/>
    <w:uiPriority w:val="14"/>
    <w:qFormat/>
    <w:rsid w:val="00F025AA"/>
    <w:pPr>
      <w:numPr>
        <w:ilvl w:val="3"/>
        <w:numId w:val="8"/>
      </w:numPr>
      <w:tabs>
        <w:tab w:val="clear" w:pos="709"/>
        <w:tab w:val="clear" w:pos="1418"/>
        <w:tab w:val="clear" w:pos="2126"/>
        <w:tab w:val="clear" w:pos="2835"/>
        <w:tab w:val="clear" w:pos="2880"/>
        <w:tab w:val="clear" w:pos="3544"/>
        <w:tab w:val="clear" w:pos="4253"/>
        <w:tab w:val="clear" w:pos="4961"/>
        <w:tab w:val="clear" w:pos="5670"/>
        <w:tab w:val="num" w:pos="360"/>
      </w:tabs>
      <w:spacing w:after="240" w:line="360" w:lineRule="auto"/>
      <w:ind w:left="360" w:hanging="360"/>
      <w:outlineLvl w:val="3"/>
    </w:pPr>
    <w:rPr>
      <w:rFonts w:asciiTheme="minorHAnsi" w:eastAsiaTheme="minorHAnsi" w:hAnsiTheme="minorHAnsi" w:cstheme="minorBidi"/>
      <w:color w:val="000000" w:themeColor="text1"/>
      <w:sz w:val="20"/>
      <w:szCs w:val="22"/>
      <w:lang w:eastAsia="en-US"/>
    </w:rPr>
  </w:style>
  <w:style w:type="paragraph" w:customStyle="1" w:styleId="Level5Number">
    <w:name w:val="Level 5 Number"/>
    <w:basedOn w:val="BodyText"/>
    <w:uiPriority w:val="14"/>
    <w:qFormat/>
    <w:rsid w:val="00F025AA"/>
    <w:pPr>
      <w:numPr>
        <w:ilvl w:val="4"/>
        <w:numId w:val="8"/>
      </w:numPr>
      <w:tabs>
        <w:tab w:val="clear" w:pos="709"/>
        <w:tab w:val="clear" w:pos="1418"/>
        <w:tab w:val="clear" w:pos="2126"/>
        <w:tab w:val="clear" w:pos="2835"/>
        <w:tab w:val="clear" w:pos="3544"/>
        <w:tab w:val="clear" w:pos="4253"/>
        <w:tab w:val="clear" w:pos="4320"/>
        <w:tab w:val="clear" w:pos="4961"/>
        <w:tab w:val="clear" w:pos="5670"/>
        <w:tab w:val="num" w:pos="360"/>
      </w:tabs>
      <w:spacing w:after="240" w:line="360" w:lineRule="auto"/>
      <w:ind w:left="4320" w:hanging="1440"/>
      <w:outlineLvl w:val="4"/>
    </w:pPr>
    <w:rPr>
      <w:rFonts w:asciiTheme="minorHAnsi" w:eastAsiaTheme="minorHAnsi" w:hAnsiTheme="minorHAnsi" w:cstheme="minorBidi"/>
      <w:color w:val="000000" w:themeColor="text1"/>
      <w:sz w:val="20"/>
      <w:szCs w:val="22"/>
      <w:lang w:eastAsia="en-US"/>
    </w:rPr>
  </w:style>
  <w:style w:type="paragraph" w:customStyle="1" w:styleId="Level6Number">
    <w:name w:val="Level 6 Number"/>
    <w:basedOn w:val="BodyText"/>
    <w:uiPriority w:val="99"/>
    <w:semiHidden/>
    <w:rsid w:val="00F025AA"/>
    <w:pPr>
      <w:numPr>
        <w:ilvl w:val="5"/>
        <w:numId w:val="8"/>
      </w:numPr>
      <w:tabs>
        <w:tab w:val="clear" w:pos="709"/>
        <w:tab w:val="clear" w:pos="1418"/>
        <w:tab w:val="clear" w:pos="2126"/>
        <w:tab w:val="clear" w:pos="2835"/>
        <w:tab w:val="clear" w:pos="3544"/>
        <w:tab w:val="clear" w:pos="4253"/>
        <w:tab w:val="clear" w:pos="4961"/>
        <w:tab w:val="clear" w:pos="5670"/>
        <w:tab w:val="clear" w:pos="5760"/>
        <w:tab w:val="num" w:pos="360"/>
      </w:tabs>
      <w:spacing w:after="240" w:line="360" w:lineRule="auto"/>
      <w:ind w:left="360" w:hanging="360"/>
    </w:pPr>
    <w:rPr>
      <w:rFonts w:asciiTheme="minorHAnsi" w:eastAsiaTheme="minorHAnsi" w:hAnsiTheme="minorHAnsi" w:cstheme="minorBidi"/>
      <w:color w:val="000000" w:themeColor="text1"/>
      <w:sz w:val="20"/>
      <w:szCs w:val="22"/>
      <w:lang w:eastAsia="en-US"/>
    </w:rPr>
  </w:style>
  <w:style w:type="paragraph" w:styleId="BodyText">
    <w:name w:val="Body Text"/>
    <w:basedOn w:val="Normal"/>
    <w:link w:val="BodyTextChar"/>
    <w:uiPriority w:val="99"/>
    <w:semiHidden/>
    <w:unhideWhenUsed/>
    <w:rsid w:val="00F025AA"/>
    <w:pPr>
      <w:spacing w:after="120"/>
    </w:pPr>
  </w:style>
  <w:style w:type="character" w:customStyle="1" w:styleId="BodyTextChar">
    <w:name w:val="Body Text Char"/>
    <w:basedOn w:val="DefaultParagraphFont"/>
    <w:link w:val="BodyText"/>
    <w:uiPriority w:val="99"/>
    <w:semiHidden/>
    <w:rsid w:val="00F025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30353">
      <w:bodyDiv w:val="1"/>
      <w:marLeft w:val="0"/>
      <w:marRight w:val="0"/>
      <w:marTop w:val="0"/>
      <w:marBottom w:val="0"/>
      <w:divBdr>
        <w:top w:val="none" w:sz="0" w:space="0" w:color="auto"/>
        <w:left w:val="none" w:sz="0" w:space="0" w:color="auto"/>
        <w:bottom w:val="none" w:sz="0" w:space="0" w:color="auto"/>
        <w:right w:val="none" w:sz="0" w:space="0" w:color="auto"/>
      </w:divBdr>
      <w:divsChild>
        <w:div w:id="71702046">
          <w:marLeft w:val="0"/>
          <w:marRight w:val="0"/>
          <w:marTop w:val="0"/>
          <w:marBottom w:val="225"/>
          <w:divBdr>
            <w:top w:val="none" w:sz="0" w:space="0" w:color="auto"/>
            <w:left w:val="none" w:sz="0" w:space="0" w:color="auto"/>
            <w:bottom w:val="none" w:sz="0" w:space="0" w:color="auto"/>
            <w:right w:val="none" w:sz="0" w:space="0" w:color="auto"/>
          </w:divBdr>
          <w:divsChild>
            <w:div w:id="1871457984">
              <w:marLeft w:val="0"/>
              <w:marRight w:val="0"/>
              <w:marTop w:val="0"/>
              <w:marBottom w:val="0"/>
              <w:divBdr>
                <w:top w:val="none" w:sz="0" w:space="0" w:color="auto"/>
                <w:left w:val="none" w:sz="0" w:space="0" w:color="auto"/>
                <w:bottom w:val="none" w:sz="0" w:space="0" w:color="auto"/>
                <w:right w:val="none" w:sz="0" w:space="0" w:color="auto"/>
              </w:divBdr>
              <w:divsChild>
                <w:div w:id="1534876514">
                  <w:marLeft w:val="0"/>
                  <w:marRight w:val="0"/>
                  <w:marTop w:val="0"/>
                  <w:marBottom w:val="0"/>
                  <w:divBdr>
                    <w:top w:val="none" w:sz="0" w:space="0" w:color="auto"/>
                    <w:left w:val="none" w:sz="0" w:space="0" w:color="auto"/>
                    <w:bottom w:val="none" w:sz="0" w:space="0" w:color="auto"/>
                    <w:right w:val="none" w:sz="0" w:space="0" w:color="auto"/>
                  </w:divBdr>
                  <w:divsChild>
                    <w:div w:id="295527194">
                      <w:marLeft w:val="0"/>
                      <w:marRight w:val="0"/>
                      <w:marTop w:val="0"/>
                      <w:marBottom w:val="0"/>
                      <w:divBdr>
                        <w:top w:val="none" w:sz="0" w:space="0" w:color="auto"/>
                        <w:left w:val="none" w:sz="0" w:space="0" w:color="auto"/>
                        <w:bottom w:val="none" w:sz="0" w:space="0" w:color="auto"/>
                        <w:right w:val="none" w:sz="0" w:space="0" w:color="auto"/>
                      </w:divBdr>
                      <w:divsChild>
                        <w:div w:id="1528450504">
                          <w:marLeft w:val="0"/>
                          <w:marRight w:val="0"/>
                          <w:marTop w:val="0"/>
                          <w:marBottom w:val="0"/>
                          <w:divBdr>
                            <w:top w:val="none" w:sz="0" w:space="0" w:color="auto"/>
                            <w:left w:val="none" w:sz="0" w:space="0" w:color="auto"/>
                            <w:bottom w:val="none" w:sz="0" w:space="0" w:color="auto"/>
                            <w:right w:val="none" w:sz="0" w:space="0" w:color="auto"/>
                          </w:divBdr>
                          <w:divsChild>
                            <w:div w:id="583803568">
                              <w:marLeft w:val="0"/>
                              <w:marRight w:val="0"/>
                              <w:marTop w:val="150"/>
                              <w:marBottom w:val="150"/>
                              <w:divBdr>
                                <w:top w:val="none" w:sz="0" w:space="0" w:color="auto"/>
                                <w:left w:val="none" w:sz="0" w:space="0" w:color="auto"/>
                                <w:bottom w:val="none" w:sz="0" w:space="0" w:color="auto"/>
                                <w:right w:val="none" w:sz="0" w:space="0" w:color="auto"/>
                              </w:divBdr>
                              <w:divsChild>
                                <w:div w:id="143204735">
                                  <w:marLeft w:val="0"/>
                                  <w:marRight w:val="0"/>
                                  <w:marTop w:val="0"/>
                                  <w:marBottom w:val="0"/>
                                  <w:divBdr>
                                    <w:top w:val="none" w:sz="0" w:space="0" w:color="auto"/>
                                    <w:left w:val="none" w:sz="0" w:space="0" w:color="auto"/>
                                    <w:bottom w:val="none" w:sz="0" w:space="0" w:color="auto"/>
                                    <w:right w:val="none" w:sz="0" w:space="0" w:color="auto"/>
                                  </w:divBdr>
                                  <w:divsChild>
                                    <w:div w:id="950555914">
                                      <w:marLeft w:val="0"/>
                                      <w:marRight w:val="0"/>
                                      <w:marTop w:val="0"/>
                                      <w:marBottom w:val="0"/>
                                      <w:divBdr>
                                        <w:top w:val="none" w:sz="0" w:space="0" w:color="auto"/>
                                        <w:left w:val="none" w:sz="0" w:space="0" w:color="auto"/>
                                        <w:bottom w:val="none" w:sz="0" w:space="0" w:color="auto"/>
                                        <w:right w:val="none" w:sz="0" w:space="0" w:color="auto"/>
                                      </w:divBdr>
                                      <w:divsChild>
                                        <w:div w:id="3003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263620">
                      <w:marLeft w:val="0"/>
                      <w:marRight w:val="0"/>
                      <w:marTop w:val="0"/>
                      <w:marBottom w:val="375"/>
                      <w:divBdr>
                        <w:top w:val="none" w:sz="0" w:space="0" w:color="auto"/>
                        <w:left w:val="none" w:sz="0" w:space="0" w:color="auto"/>
                        <w:bottom w:val="none" w:sz="0" w:space="0" w:color="auto"/>
                        <w:right w:val="none" w:sz="0" w:space="0" w:color="auto"/>
                      </w:divBdr>
                    </w:div>
                    <w:div w:id="1294561031">
                      <w:marLeft w:val="0"/>
                      <w:marRight w:val="0"/>
                      <w:marTop w:val="0"/>
                      <w:marBottom w:val="0"/>
                      <w:divBdr>
                        <w:top w:val="none" w:sz="0" w:space="0" w:color="auto"/>
                        <w:left w:val="none" w:sz="0" w:space="0" w:color="auto"/>
                        <w:bottom w:val="none" w:sz="0" w:space="0" w:color="auto"/>
                        <w:right w:val="none" w:sz="0" w:space="0" w:color="auto"/>
                      </w:divBdr>
                    </w:div>
                    <w:div w:id="1918587303">
                      <w:marLeft w:val="0"/>
                      <w:marRight w:val="0"/>
                      <w:marTop w:val="0"/>
                      <w:marBottom w:val="0"/>
                      <w:divBdr>
                        <w:top w:val="none" w:sz="0" w:space="0" w:color="auto"/>
                        <w:left w:val="none" w:sz="0" w:space="0" w:color="auto"/>
                        <w:bottom w:val="none" w:sz="0" w:space="0" w:color="auto"/>
                        <w:right w:val="none" w:sz="0" w:space="0" w:color="auto"/>
                      </w:divBdr>
                      <w:divsChild>
                        <w:div w:id="780033494">
                          <w:marLeft w:val="0"/>
                          <w:marRight w:val="0"/>
                          <w:marTop w:val="0"/>
                          <w:marBottom w:val="0"/>
                          <w:divBdr>
                            <w:top w:val="none" w:sz="0" w:space="0" w:color="auto"/>
                            <w:left w:val="none" w:sz="0" w:space="0" w:color="auto"/>
                            <w:bottom w:val="none" w:sz="0" w:space="0" w:color="auto"/>
                            <w:right w:val="none" w:sz="0" w:space="0" w:color="auto"/>
                          </w:divBdr>
                        </w:div>
                      </w:divsChild>
                    </w:div>
                    <w:div w:id="20769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8499">
      <w:bodyDiv w:val="1"/>
      <w:marLeft w:val="0"/>
      <w:marRight w:val="0"/>
      <w:marTop w:val="0"/>
      <w:marBottom w:val="0"/>
      <w:divBdr>
        <w:top w:val="none" w:sz="0" w:space="0" w:color="auto"/>
        <w:left w:val="none" w:sz="0" w:space="0" w:color="auto"/>
        <w:bottom w:val="none" w:sz="0" w:space="0" w:color="auto"/>
        <w:right w:val="none" w:sz="0" w:space="0" w:color="auto"/>
      </w:divBdr>
    </w:div>
    <w:div w:id="152307414">
      <w:bodyDiv w:val="1"/>
      <w:marLeft w:val="0"/>
      <w:marRight w:val="0"/>
      <w:marTop w:val="0"/>
      <w:marBottom w:val="0"/>
      <w:divBdr>
        <w:top w:val="none" w:sz="0" w:space="0" w:color="auto"/>
        <w:left w:val="none" w:sz="0" w:space="0" w:color="auto"/>
        <w:bottom w:val="none" w:sz="0" w:space="0" w:color="auto"/>
        <w:right w:val="none" w:sz="0" w:space="0" w:color="auto"/>
      </w:divBdr>
    </w:div>
    <w:div w:id="189995844">
      <w:bodyDiv w:val="1"/>
      <w:marLeft w:val="0"/>
      <w:marRight w:val="0"/>
      <w:marTop w:val="0"/>
      <w:marBottom w:val="0"/>
      <w:divBdr>
        <w:top w:val="none" w:sz="0" w:space="0" w:color="auto"/>
        <w:left w:val="none" w:sz="0" w:space="0" w:color="auto"/>
        <w:bottom w:val="none" w:sz="0" w:space="0" w:color="auto"/>
        <w:right w:val="none" w:sz="0" w:space="0" w:color="auto"/>
      </w:divBdr>
      <w:divsChild>
        <w:div w:id="215971547">
          <w:marLeft w:val="0"/>
          <w:marRight w:val="0"/>
          <w:marTop w:val="0"/>
          <w:marBottom w:val="0"/>
          <w:divBdr>
            <w:top w:val="none" w:sz="0" w:space="0" w:color="auto"/>
            <w:left w:val="none" w:sz="0" w:space="0" w:color="auto"/>
            <w:bottom w:val="none" w:sz="0" w:space="0" w:color="auto"/>
            <w:right w:val="none" w:sz="0" w:space="0" w:color="auto"/>
          </w:divBdr>
          <w:divsChild>
            <w:div w:id="804203220">
              <w:marLeft w:val="0"/>
              <w:marRight w:val="0"/>
              <w:marTop w:val="0"/>
              <w:marBottom w:val="0"/>
              <w:divBdr>
                <w:top w:val="none" w:sz="0" w:space="0" w:color="auto"/>
                <w:left w:val="none" w:sz="0" w:space="0" w:color="auto"/>
                <w:bottom w:val="none" w:sz="0" w:space="0" w:color="auto"/>
                <w:right w:val="none" w:sz="0" w:space="0" w:color="auto"/>
              </w:divBdr>
            </w:div>
          </w:divsChild>
        </w:div>
        <w:div w:id="216163545">
          <w:marLeft w:val="0"/>
          <w:marRight w:val="0"/>
          <w:marTop w:val="0"/>
          <w:marBottom w:val="0"/>
          <w:divBdr>
            <w:top w:val="none" w:sz="0" w:space="0" w:color="auto"/>
            <w:left w:val="none" w:sz="0" w:space="0" w:color="auto"/>
            <w:bottom w:val="none" w:sz="0" w:space="0" w:color="auto"/>
            <w:right w:val="none" w:sz="0" w:space="0" w:color="auto"/>
          </w:divBdr>
          <w:divsChild>
            <w:div w:id="1826703675">
              <w:marLeft w:val="0"/>
              <w:marRight w:val="0"/>
              <w:marTop w:val="0"/>
              <w:marBottom w:val="0"/>
              <w:divBdr>
                <w:top w:val="none" w:sz="0" w:space="0" w:color="auto"/>
                <w:left w:val="none" w:sz="0" w:space="0" w:color="auto"/>
                <w:bottom w:val="none" w:sz="0" w:space="0" w:color="auto"/>
                <w:right w:val="none" w:sz="0" w:space="0" w:color="auto"/>
              </w:divBdr>
            </w:div>
          </w:divsChild>
        </w:div>
        <w:div w:id="35160915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0"/>
              <w:divBdr>
                <w:top w:val="none" w:sz="0" w:space="0" w:color="auto"/>
                <w:left w:val="none" w:sz="0" w:space="0" w:color="auto"/>
                <w:bottom w:val="none" w:sz="0" w:space="0" w:color="auto"/>
                <w:right w:val="none" w:sz="0" w:space="0" w:color="auto"/>
              </w:divBdr>
            </w:div>
          </w:divsChild>
        </w:div>
        <w:div w:id="427970111">
          <w:marLeft w:val="0"/>
          <w:marRight w:val="0"/>
          <w:marTop w:val="0"/>
          <w:marBottom w:val="0"/>
          <w:divBdr>
            <w:top w:val="none" w:sz="0" w:space="0" w:color="auto"/>
            <w:left w:val="none" w:sz="0" w:space="0" w:color="auto"/>
            <w:bottom w:val="none" w:sz="0" w:space="0" w:color="auto"/>
            <w:right w:val="none" w:sz="0" w:space="0" w:color="auto"/>
          </w:divBdr>
          <w:divsChild>
            <w:div w:id="56906852">
              <w:marLeft w:val="0"/>
              <w:marRight w:val="0"/>
              <w:marTop w:val="0"/>
              <w:marBottom w:val="0"/>
              <w:divBdr>
                <w:top w:val="none" w:sz="0" w:space="0" w:color="auto"/>
                <w:left w:val="none" w:sz="0" w:space="0" w:color="auto"/>
                <w:bottom w:val="none" w:sz="0" w:space="0" w:color="auto"/>
                <w:right w:val="none" w:sz="0" w:space="0" w:color="auto"/>
              </w:divBdr>
            </w:div>
          </w:divsChild>
        </w:div>
        <w:div w:id="471215989">
          <w:marLeft w:val="0"/>
          <w:marRight w:val="0"/>
          <w:marTop w:val="0"/>
          <w:marBottom w:val="0"/>
          <w:divBdr>
            <w:top w:val="none" w:sz="0" w:space="0" w:color="auto"/>
            <w:left w:val="none" w:sz="0" w:space="0" w:color="auto"/>
            <w:bottom w:val="none" w:sz="0" w:space="0" w:color="auto"/>
            <w:right w:val="none" w:sz="0" w:space="0" w:color="auto"/>
          </w:divBdr>
          <w:divsChild>
            <w:div w:id="743332571">
              <w:marLeft w:val="0"/>
              <w:marRight w:val="0"/>
              <w:marTop w:val="0"/>
              <w:marBottom w:val="0"/>
              <w:divBdr>
                <w:top w:val="none" w:sz="0" w:space="0" w:color="auto"/>
                <w:left w:val="none" w:sz="0" w:space="0" w:color="auto"/>
                <w:bottom w:val="none" w:sz="0" w:space="0" w:color="auto"/>
                <w:right w:val="none" w:sz="0" w:space="0" w:color="auto"/>
              </w:divBdr>
            </w:div>
          </w:divsChild>
        </w:div>
        <w:div w:id="1056778624">
          <w:marLeft w:val="0"/>
          <w:marRight w:val="0"/>
          <w:marTop w:val="0"/>
          <w:marBottom w:val="0"/>
          <w:divBdr>
            <w:top w:val="none" w:sz="0" w:space="0" w:color="auto"/>
            <w:left w:val="none" w:sz="0" w:space="0" w:color="auto"/>
            <w:bottom w:val="none" w:sz="0" w:space="0" w:color="auto"/>
            <w:right w:val="none" w:sz="0" w:space="0" w:color="auto"/>
          </w:divBdr>
          <w:divsChild>
            <w:div w:id="1808812292">
              <w:marLeft w:val="0"/>
              <w:marRight w:val="0"/>
              <w:marTop w:val="0"/>
              <w:marBottom w:val="0"/>
              <w:divBdr>
                <w:top w:val="none" w:sz="0" w:space="0" w:color="auto"/>
                <w:left w:val="none" w:sz="0" w:space="0" w:color="auto"/>
                <w:bottom w:val="none" w:sz="0" w:space="0" w:color="auto"/>
                <w:right w:val="none" w:sz="0" w:space="0" w:color="auto"/>
              </w:divBdr>
            </w:div>
          </w:divsChild>
        </w:div>
        <w:div w:id="1548368940">
          <w:marLeft w:val="0"/>
          <w:marRight w:val="0"/>
          <w:marTop w:val="0"/>
          <w:marBottom w:val="0"/>
          <w:divBdr>
            <w:top w:val="none" w:sz="0" w:space="0" w:color="auto"/>
            <w:left w:val="none" w:sz="0" w:space="0" w:color="auto"/>
            <w:bottom w:val="none" w:sz="0" w:space="0" w:color="auto"/>
            <w:right w:val="none" w:sz="0" w:space="0" w:color="auto"/>
          </w:divBdr>
          <w:divsChild>
            <w:div w:id="1249775166">
              <w:marLeft w:val="0"/>
              <w:marRight w:val="0"/>
              <w:marTop w:val="0"/>
              <w:marBottom w:val="0"/>
              <w:divBdr>
                <w:top w:val="none" w:sz="0" w:space="0" w:color="auto"/>
                <w:left w:val="none" w:sz="0" w:space="0" w:color="auto"/>
                <w:bottom w:val="none" w:sz="0" w:space="0" w:color="auto"/>
                <w:right w:val="none" w:sz="0" w:space="0" w:color="auto"/>
              </w:divBdr>
            </w:div>
          </w:divsChild>
        </w:div>
        <w:div w:id="1714191950">
          <w:marLeft w:val="0"/>
          <w:marRight w:val="0"/>
          <w:marTop w:val="0"/>
          <w:marBottom w:val="0"/>
          <w:divBdr>
            <w:top w:val="none" w:sz="0" w:space="0" w:color="auto"/>
            <w:left w:val="none" w:sz="0" w:space="0" w:color="auto"/>
            <w:bottom w:val="none" w:sz="0" w:space="0" w:color="auto"/>
            <w:right w:val="none" w:sz="0" w:space="0" w:color="auto"/>
          </w:divBdr>
          <w:divsChild>
            <w:div w:id="1508791191">
              <w:marLeft w:val="0"/>
              <w:marRight w:val="0"/>
              <w:marTop w:val="0"/>
              <w:marBottom w:val="0"/>
              <w:divBdr>
                <w:top w:val="none" w:sz="0" w:space="0" w:color="auto"/>
                <w:left w:val="none" w:sz="0" w:space="0" w:color="auto"/>
                <w:bottom w:val="none" w:sz="0" w:space="0" w:color="auto"/>
                <w:right w:val="none" w:sz="0" w:space="0" w:color="auto"/>
              </w:divBdr>
            </w:div>
          </w:divsChild>
        </w:div>
        <w:div w:id="1933515476">
          <w:marLeft w:val="0"/>
          <w:marRight w:val="0"/>
          <w:marTop w:val="0"/>
          <w:marBottom w:val="0"/>
          <w:divBdr>
            <w:top w:val="none" w:sz="0" w:space="0" w:color="auto"/>
            <w:left w:val="none" w:sz="0" w:space="0" w:color="auto"/>
            <w:bottom w:val="none" w:sz="0" w:space="0" w:color="auto"/>
            <w:right w:val="none" w:sz="0" w:space="0" w:color="auto"/>
          </w:divBdr>
          <w:divsChild>
            <w:div w:id="564683415">
              <w:marLeft w:val="0"/>
              <w:marRight w:val="0"/>
              <w:marTop w:val="0"/>
              <w:marBottom w:val="0"/>
              <w:divBdr>
                <w:top w:val="none" w:sz="0" w:space="0" w:color="auto"/>
                <w:left w:val="none" w:sz="0" w:space="0" w:color="auto"/>
                <w:bottom w:val="none" w:sz="0" w:space="0" w:color="auto"/>
                <w:right w:val="none" w:sz="0" w:space="0" w:color="auto"/>
              </w:divBdr>
            </w:div>
          </w:divsChild>
        </w:div>
        <w:div w:id="2097634176">
          <w:marLeft w:val="0"/>
          <w:marRight w:val="0"/>
          <w:marTop w:val="0"/>
          <w:marBottom w:val="0"/>
          <w:divBdr>
            <w:top w:val="none" w:sz="0" w:space="0" w:color="auto"/>
            <w:left w:val="none" w:sz="0" w:space="0" w:color="auto"/>
            <w:bottom w:val="none" w:sz="0" w:space="0" w:color="auto"/>
            <w:right w:val="none" w:sz="0" w:space="0" w:color="auto"/>
          </w:divBdr>
          <w:divsChild>
            <w:div w:id="11862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6262">
      <w:bodyDiv w:val="1"/>
      <w:marLeft w:val="0"/>
      <w:marRight w:val="0"/>
      <w:marTop w:val="0"/>
      <w:marBottom w:val="0"/>
      <w:divBdr>
        <w:top w:val="none" w:sz="0" w:space="0" w:color="auto"/>
        <w:left w:val="none" w:sz="0" w:space="0" w:color="auto"/>
        <w:bottom w:val="none" w:sz="0" w:space="0" w:color="auto"/>
        <w:right w:val="none" w:sz="0" w:space="0" w:color="auto"/>
      </w:divBdr>
    </w:div>
    <w:div w:id="238102007">
      <w:bodyDiv w:val="1"/>
      <w:marLeft w:val="0"/>
      <w:marRight w:val="0"/>
      <w:marTop w:val="0"/>
      <w:marBottom w:val="0"/>
      <w:divBdr>
        <w:top w:val="none" w:sz="0" w:space="0" w:color="auto"/>
        <w:left w:val="none" w:sz="0" w:space="0" w:color="auto"/>
        <w:bottom w:val="none" w:sz="0" w:space="0" w:color="auto"/>
        <w:right w:val="none" w:sz="0" w:space="0" w:color="auto"/>
      </w:divBdr>
    </w:div>
    <w:div w:id="394670395">
      <w:bodyDiv w:val="1"/>
      <w:marLeft w:val="0"/>
      <w:marRight w:val="0"/>
      <w:marTop w:val="0"/>
      <w:marBottom w:val="0"/>
      <w:divBdr>
        <w:top w:val="none" w:sz="0" w:space="0" w:color="auto"/>
        <w:left w:val="none" w:sz="0" w:space="0" w:color="auto"/>
        <w:bottom w:val="none" w:sz="0" w:space="0" w:color="auto"/>
        <w:right w:val="none" w:sz="0" w:space="0" w:color="auto"/>
      </w:divBdr>
    </w:div>
    <w:div w:id="430399815">
      <w:bodyDiv w:val="1"/>
      <w:marLeft w:val="0"/>
      <w:marRight w:val="0"/>
      <w:marTop w:val="0"/>
      <w:marBottom w:val="0"/>
      <w:divBdr>
        <w:top w:val="none" w:sz="0" w:space="0" w:color="auto"/>
        <w:left w:val="none" w:sz="0" w:space="0" w:color="auto"/>
        <w:bottom w:val="none" w:sz="0" w:space="0" w:color="auto"/>
        <w:right w:val="none" w:sz="0" w:space="0" w:color="auto"/>
      </w:divBdr>
    </w:div>
    <w:div w:id="433288225">
      <w:bodyDiv w:val="1"/>
      <w:marLeft w:val="0"/>
      <w:marRight w:val="0"/>
      <w:marTop w:val="0"/>
      <w:marBottom w:val="0"/>
      <w:divBdr>
        <w:top w:val="none" w:sz="0" w:space="0" w:color="auto"/>
        <w:left w:val="none" w:sz="0" w:space="0" w:color="auto"/>
        <w:bottom w:val="none" w:sz="0" w:space="0" w:color="auto"/>
        <w:right w:val="none" w:sz="0" w:space="0" w:color="auto"/>
      </w:divBdr>
    </w:div>
    <w:div w:id="489948892">
      <w:bodyDiv w:val="1"/>
      <w:marLeft w:val="0"/>
      <w:marRight w:val="0"/>
      <w:marTop w:val="0"/>
      <w:marBottom w:val="0"/>
      <w:divBdr>
        <w:top w:val="none" w:sz="0" w:space="0" w:color="auto"/>
        <w:left w:val="none" w:sz="0" w:space="0" w:color="auto"/>
        <w:bottom w:val="none" w:sz="0" w:space="0" w:color="auto"/>
        <w:right w:val="none" w:sz="0" w:space="0" w:color="auto"/>
      </w:divBdr>
    </w:div>
    <w:div w:id="526606817">
      <w:bodyDiv w:val="1"/>
      <w:marLeft w:val="0"/>
      <w:marRight w:val="0"/>
      <w:marTop w:val="0"/>
      <w:marBottom w:val="0"/>
      <w:divBdr>
        <w:top w:val="none" w:sz="0" w:space="0" w:color="auto"/>
        <w:left w:val="none" w:sz="0" w:space="0" w:color="auto"/>
        <w:bottom w:val="none" w:sz="0" w:space="0" w:color="auto"/>
        <w:right w:val="none" w:sz="0" w:space="0" w:color="auto"/>
      </w:divBdr>
    </w:div>
    <w:div w:id="588469829">
      <w:bodyDiv w:val="1"/>
      <w:marLeft w:val="0"/>
      <w:marRight w:val="0"/>
      <w:marTop w:val="0"/>
      <w:marBottom w:val="0"/>
      <w:divBdr>
        <w:top w:val="none" w:sz="0" w:space="0" w:color="auto"/>
        <w:left w:val="none" w:sz="0" w:space="0" w:color="auto"/>
        <w:bottom w:val="none" w:sz="0" w:space="0" w:color="auto"/>
        <w:right w:val="none" w:sz="0" w:space="0" w:color="auto"/>
      </w:divBdr>
      <w:divsChild>
        <w:div w:id="1982731967">
          <w:marLeft w:val="0"/>
          <w:marRight w:val="0"/>
          <w:marTop w:val="0"/>
          <w:marBottom w:val="0"/>
          <w:divBdr>
            <w:top w:val="none" w:sz="0" w:space="0" w:color="auto"/>
            <w:left w:val="none" w:sz="0" w:space="0" w:color="auto"/>
            <w:bottom w:val="none" w:sz="0" w:space="0" w:color="auto"/>
            <w:right w:val="none" w:sz="0" w:space="0" w:color="auto"/>
          </w:divBdr>
        </w:div>
      </w:divsChild>
    </w:div>
    <w:div w:id="627859777">
      <w:bodyDiv w:val="1"/>
      <w:marLeft w:val="0"/>
      <w:marRight w:val="0"/>
      <w:marTop w:val="0"/>
      <w:marBottom w:val="0"/>
      <w:divBdr>
        <w:top w:val="none" w:sz="0" w:space="0" w:color="auto"/>
        <w:left w:val="none" w:sz="0" w:space="0" w:color="auto"/>
        <w:bottom w:val="none" w:sz="0" w:space="0" w:color="auto"/>
        <w:right w:val="none" w:sz="0" w:space="0" w:color="auto"/>
      </w:divBdr>
    </w:div>
    <w:div w:id="688876591">
      <w:bodyDiv w:val="1"/>
      <w:marLeft w:val="0"/>
      <w:marRight w:val="0"/>
      <w:marTop w:val="0"/>
      <w:marBottom w:val="0"/>
      <w:divBdr>
        <w:top w:val="none" w:sz="0" w:space="0" w:color="auto"/>
        <w:left w:val="none" w:sz="0" w:space="0" w:color="auto"/>
        <w:bottom w:val="none" w:sz="0" w:space="0" w:color="auto"/>
        <w:right w:val="none" w:sz="0" w:space="0" w:color="auto"/>
      </w:divBdr>
    </w:div>
    <w:div w:id="836728198">
      <w:bodyDiv w:val="1"/>
      <w:marLeft w:val="0"/>
      <w:marRight w:val="0"/>
      <w:marTop w:val="0"/>
      <w:marBottom w:val="0"/>
      <w:divBdr>
        <w:top w:val="none" w:sz="0" w:space="0" w:color="auto"/>
        <w:left w:val="none" w:sz="0" w:space="0" w:color="auto"/>
        <w:bottom w:val="none" w:sz="0" w:space="0" w:color="auto"/>
        <w:right w:val="none" w:sz="0" w:space="0" w:color="auto"/>
      </w:divBdr>
    </w:div>
    <w:div w:id="837042416">
      <w:bodyDiv w:val="1"/>
      <w:marLeft w:val="0"/>
      <w:marRight w:val="0"/>
      <w:marTop w:val="0"/>
      <w:marBottom w:val="0"/>
      <w:divBdr>
        <w:top w:val="none" w:sz="0" w:space="0" w:color="auto"/>
        <w:left w:val="none" w:sz="0" w:space="0" w:color="auto"/>
        <w:bottom w:val="none" w:sz="0" w:space="0" w:color="auto"/>
        <w:right w:val="none" w:sz="0" w:space="0" w:color="auto"/>
      </w:divBdr>
      <w:divsChild>
        <w:div w:id="244842597">
          <w:marLeft w:val="0"/>
          <w:marRight w:val="0"/>
          <w:marTop w:val="0"/>
          <w:marBottom w:val="0"/>
          <w:divBdr>
            <w:top w:val="none" w:sz="0" w:space="0" w:color="auto"/>
            <w:left w:val="none" w:sz="0" w:space="0" w:color="auto"/>
            <w:bottom w:val="none" w:sz="0" w:space="0" w:color="auto"/>
            <w:right w:val="none" w:sz="0" w:space="0" w:color="auto"/>
          </w:divBdr>
        </w:div>
      </w:divsChild>
    </w:div>
    <w:div w:id="991566776">
      <w:bodyDiv w:val="1"/>
      <w:marLeft w:val="0"/>
      <w:marRight w:val="0"/>
      <w:marTop w:val="0"/>
      <w:marBottom w:val="0"/>
      <w:divBdr>
        <w:top w:val="none" w:sz="0" w:space="0" w:color="auto"/>
        <w:left w:val="none" w:sz="0" w:space="0" w:color="auto"/>
        <w:bottom w:val="none" w:sz="0" w:space="0" w:color="auto"/>
        <w:right w:val="none" w:sz="0" w:space="0" w:color="auto"/>
      </w:divBdr>
    </w:div>
    <w:div w:id="1017392173">
      <w:bodyDiv w:val="1"/>
      <w:marLeft w:val="0"/>
      <w:marRight w:val="0"/>
      <w:marTop w:val="0"/>
      <w:marBottom w:val="0"/>
      <w:divBdr>
        <w:top w:val="none" w:sz="0" w:space="0" w:color="auto"/>
        <w:left w:val="none" w:sz="0" w:space="0" w:color="auto"/>
        <w:bottom w:val="none" w:sz="0" w:space="0" w:color="auto"/>
        <w:right w:val="none" w:sz="0" w:space="0" w:color="auto"/>
      </w:divBdr>
    </w:div>
    <w:div w:id="1056201895">
      <w:bodyDiv w:val="1"/>
      <w:marLeft w:val="0"/>
      <w:marRight w:val="0"/>
      <w:marTop w:val="0"/>
      <w:marBottom w:val="0"/>
      <w:divBdr>
        <w:top w:val="none" w:sz="0" w:space="0" w:color="auto"/>
        <w:left w:val="none" w:sz="0" w:space="0" w:color="auto"/>
        <w:bottom w:val="none" w:sz="0" w:space="0" w:color="auto"/>
        <w:right w:val="none" w:sz="0" w:space="0" w:color="auto"/>
      </w:divBdr>
    </w:div>
    <w:div w:id="1088117475">
      <w:bodyDiv w:val="1"/>
      <w:marLeft w:val="0"/>
      <w:marRight w:val="0"/>
      <w:marTop w:val="0"/>
      <w:marBottom w:val="0"/>
      <w:divBdr>
        <w:top w:val="none" w:sz="0" w:space="0" w:color="auto"/>
        <w:left w:val="none" w:sz="0" w:space="0" w:color="auto"/>
        <w:bottom w:val="none" w:sz="0" w:space="0" w:color="auto"/>
        <w:right w:val="none" w:sz="0" w:space="0" w:color="auto"/>
      </w:divBdr>
    </w:div>
    <w:div w:id="1111708309">
      <w:bodyDiv w:val="1"/>
      <w:marLeft w:val="0"/>
      <w:marRight w:val="0"/>
      <w:marTop w:val="0"/>
      <w:marBottom w:val="0"/>
      <w:divBdr>
        <w:top w:val="none" w:sz="0" w:space="0" w:color="auto"/>
        <w:left w:val="none" w:sz="0" w:space="0" w:color="auto"/>
        <w:bottom w:val="none" w:sz="0" w:space="0" w:color="auto"/>
        <w:right w:val="none" w:sz="0" w:space="0" w:color="auto"/>
      </w:divBdr>
    </w:div>
    <w:div w:id="1120144639">
      <w:bodyDiv w:val="1"/>
      <w:marLeft w:val="0"/>
      <w:marRight w:val="0"/>
      <w:marTop w:val="0"/>
      <w:marBottom w:val="0"/>
      <w:divBdr>
        <w:top w:val="none" w:sz="0" w:space="0" w:color="auto"/>
        <w:left w:val="none" w:sz="0" w:space="0" w:color="auto"/>
        <w:bottom w:val="none" w:sz="0" w:space="0" w:color="auto"/>
        <w:right w:val="none" w:sz="0" w:space="0" w:color="auto"/>
      </w:divBdr>
    </w:div>
    <w:div w:id="1188255991">
      <w:bodyDiv w:val="1"/>
      <w:marLeft w:val="0"/>
      <w:marRight w:val="0"/>
      <w:marTop w:val="0"/>
      <w:marBottom w:val="0"/>
      <w:divBdr>
        <w:top w:val="none" w:sz="0" w:space="0" w:color="auto"/>
        <w:left w:val="none" w:sz="0" w:space="0" w:color="auto"/>
        <w:bottom w:val="none" w:sz="0" w:space="0" w:color="auto"/>
        <w:right w:val="none" w:sz="0" w:space="0" w:color="auto"/>
      </w:divBdr>
    </w:div>
    <w:div w:id="1229920894">
      <w:bodyDiv w:val="1"/>
      <w:marLeft w:val="0"/>
      <w:marRight w:val="0"/>
      <w:marTop w:val="0"/>
      <w:marBottom w:val="0"/>
      <w:divBdr>
        <w:top w:val="none" w:sz="0" w:space="0" w:color="auto"/>
        <w:left w:val="none" w:sz="0" w:space="0" w:color="auto"/>
        <w:bottom w:val="none" w:sz="0" w:space="0" w:color="auto"/>
        <w:right w:val="none" w:sz="0" w:space="0" w:color="auto"/>
      </w:divBdr>
    </w:div>
    <w:div w:id="1291403976">
      <w:bodyDiv w:val="1"/>
      <w:marLeft w:val="0"/>
      <w:marRight w:val="0"/>
      <w:marTop w:val="0"/>
      <w:marBottom w:val="0"/>
      <w:divBdr>
        <w:top w:val="none" w:sz="0" w:space="0" w:color="auto"/>
        <w:left w:val="none" w:sz="0" w:space="0" w:color="auto"/>
        <w:bottom w:val="none" w:sz="0" w:space="0" w:color="auto"/>
        <w:right w:val="none" w:sz="0" w:space="0" w:color="auto"/>
      </w:divBdr>
    </w:div>
    <w:div w:id="1292205703">
      <w:bodyDiv w:val="1"/>
      <w:marLeft w:val="0"/>
      <w:marRight w:val="0"/>
      <w:marTop w:val="0"/>
      <w:marBottom w:val="0"/>
      <w:divBdr>
        <w:top w:val="none" w:sz="0" w:space="0" w:color="auto"/>
        <w:left w:val="none" w:sz="0" w:space="0" w:color="auto"/>
        <w:bottom w:val="none" w:sz="0" w:space="0" w:color="auto"/>
        <w:right w:val="none" w:sz="0" w:space="0" w:color="auto"/>
      </w:divBdr>
    </w:div>
    <w:div w:id="1345788946">
      <w:bodyDiv w:val="1"/>
      <w:marLeft w:val="0"/>
      <w:marRight w:val="0"/>
      <w:marTop w:val="0"/>
      <w:marBottom w:val="0"/>
      <w:divBdr>
        <w:top w:val="none" w:sz="0" w:space="0" w:color="auto"/>
        <w:left w:val="none" w:sz="0" w:space="0" w:color="auto"/>
        <w:bottom w:val="none" w:sz="0" w:space="0" w:color="auto"/>
        <w:right w:val="none" w:sz="0" w:space="0" w:color="auto"/>
      </w:divBdr>
      <w:divsChild>
        <w:div w:id="18355834">
          <w:marLeft w:val="0"/>
          <w:marRight w:val="0"/>
          <w:marTop w:val="0"/>
          <w:marBottom w:val="0"/>
          <w:divBdr>
            <w:top w:val="none" w:sz="0" w:space="0" w:color="auto"/>
            <w:left w:val="none" w:sz="0" w:space="0" w:color="auto"/>
            <w:bottom w:val="none" w:sz="0" w:space="0" w:color="auto"/>
            <w:right w:val="none" w:sz="0" w:space="0" w:color="auto"/>
          </w:divBdr>
        </w:div>
      </w:divsChild>
    </w:div>
    <w:div w:id="1442915685">
      <w:bodyDiv w:val="1"/>
      <w:marLeft w:val="0"/>
      <w:marRight w:val="0"/>
      <w:marTop w:val="0"/>
      <w:marBottom w:val="0"/>
      <w:divBdr>
        <w:top w:val="none" w:sz="0" w:space="0" w:color="auto"/>
        <w:left w:val="none" w:sz="0" w:space="0" w:color="auto"/>
        <w:bottom w:val="none" w:sz="0" w:space="0" w:color="auto"/>
        <w:right w:val="none" w:sz="0" w:space="0" w:color="auto"/>
      </w:divBdr>
      <w:divsChild>
        <w:div w:id="412507672">
          <w:marLeft w:val="0"/>
          <w:marRight w:val="0"/>
          <w:marTop w:val="0"/>
          <w:marBottom w:val="0"/>
          <w:divBdr>
            <w:top w:val="none" w:sz="0" w:space="0" w:color="auto"/>
            <w:left w:val="none" w:sz="0" w:space="0" w:color="auto"/>
            <w:bottom w:val="none" w:sz="0" w:space="0" w:color="auto"/>
            <w:right w:val="none" w:sz="0" w:space="0" w:color="auto"/>
          </w:divBdr>
          <w:divsChild>
            <w:div w:id="222184870">
              <w:marLeft w:val="0"/>
              <w:marRight w:val="0"/>
              <w:marTop w:val="0"/>
              <w:marBottom w:val="0"/>
              <w:divBdr>
                <w:top w:val="none" w:sz="0" w:space="0" w:color="auto"/>
                <w:left w:val="none" w:sz="0" w:space="0" w:color="auto"/>
                <w:bottom w:val="none" w:sz="0" w:space="0" w:color="auto"/>
                <w:right w:val="none" w:sz="0" w:space="0" w:color="auto"/>
              </w:divBdr>
              <w:divsChild>
                <w:div w:id="8465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5770">
          <w:marLeft w:val="0"/>
          <w:marRight w:val="0"/>
          <w:marTop w:val="0"/>
          <w:marBottom w:val="0"/>
          <w:divBdr>
            <w:top w:val="none" w:sz="0" w:space="0" w:color="auto"/>
            <w:left w:val="none" w:sz="0" w:space="0" w:color="auto"/>
            <w:bottom w:val="none" w:sz="0" w:space="0" w:color="auto"/>
            <w:right w:val="none" w:sz="0" w:space="0" w:color="auto"/>
          </w:divBdr>
          <w:divsChild>
            <w:div w:id="345325604">
              <w:marLeft w:val="0"/>
              <w:marRight w:val="0"/>
              <w:marTop w:val="0"/>
              <w:marBottom w:val="0"/>
              <w:divBdr>
                <w:top w:val="none" w:sz="0" w:space="0" w:color="auto"/>
                <w:left w:val="none" w:sz="0" w:space="0" w:color="auto"/>
                <w:bottom w:val="none" w:sz="0" w:space="0" w:color="auto"/>
                <w:right w:val="none" w:sz="0" w:space="0" w:color="auto"/>
              </w:divBdr>
              <w:divsChild>
                <w:div w:id="17435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49905">
      <w:bodyDiv w:val="1"/>
      <w:marLeft w:val="0"/>
      <w:marRight w:val="0"/>
      <w:marTop w:val="0"/>
      <w:marBottom w:val="0"/>
      <w:divBdr>
        <w:top w:val="none" w:sz="0" w:space="0" w:color="auto"/>
        <w:left w:val="none" w:sz="0" w:space="0" w:color="auto"/>
        <w:bottom w:val="none" w:sz="0" w:space="0" w:color="auto"/>
        <w:right w:val="none" w:sz="0" w:space="0" w:color="auto"/>
      </w:divBdr>
    </w:div>
    <w:div w:id="1480532097">
      <w:bodyDiv w:val="1"/>
      <w:marLeft w:val="0"/>
      <w:marRight w:val="0"/>
      <w:marTop w:val="0"/>
      <w:marBottom w:val="0"/>
      <w:divBdr>
        <w:top w:val="none" w:sz="0" w:space="0" w:color="auto"/>
        <w:left w:val="none" w:sz="0" w:space="0" w:color="auto"/>
        <w:bottom w:val="none" w:sz="0" w:space="0" w:color="auto"/>
        <w:right w:val="none" w:sz="0" w:space="0" w:color="auto"/>
      </w:divBdr>
    </w:div>
    <w:div w:id="1539199608">
      <w:bodyDiv w:val="1"/>
      <w:marLeft w:val="0"/>
      <w:marRight w:val="0"/>
      <w:marTop w:val="0"/>
      <w:marBottom w:val="0"/>
      <w:divBdr>
        <w:top w:val="none" w:sz="0" w:space="0" w:color="auto"/>
        <w:left w:val="none" w:sz="0" w:space="0" w:color="auto"/>
        <w:bottom w:val="none" w:sz="0" w:space="0" w:color="auto"/>
        <w:right w:val="none" w:sz="0" w:space="0" w:color="auto"/>
      </w:divBdr>
    </w:div>
    <w:div w:id="1647203542">
      <w:bodyDiv w:val="1"/>
      <w:marLeft w:val="0"/>
      <w:marRight w:val="0"/>
      <w:marTop w:val="0"/>
      <w:marBottom w:val="0"/>
      <w:divBdr>
        <w:top w:val="none" w:sz="0" w:space="0" w:color="auto"/>
        <w:left w:val="none" w:sz="0" w:space="0" w:color="auto"/>
        <w:bottom w:val="none" w:sz="0" w:space="0" w:color="auto"/>
        <w:right w:val="none" w:sz="0" w:space="0" w:color="auto"/>
      </w:divBdr>
      <w:divsChild>
        <w:div w:id="1572349243">
          <w:marLeft w:val="0"/>
          <w:marRight w:val="0"/>
          <w:marTop w:val="0"/>
          <w:marBottom w:val="0"/>
          <w:divBdr>
            <w:top w:val="none" w:sz="0" w:space="0" w:color="auto"/>
            <w:left w:val="none" w:sz="0" w:space="0" w:color="auto"/>
            <w:bottom w:val="none" w:sz="0" w:space="0" w:color="auto"/>
            <w:right w:val="none" w:sz="0" w:space="0" w:color="auto"/>
          </w:divBdr>
        </w:div>
      </w:divsChild>
    </w:div>
    <w:div w:id="1686596179">
      <w:bodyDiv w:val="1"/>
      <w:marLeft w:val="0"/>
      <w:marRight w:val="0"/>
      <w:marTop w:val="0"/>
      <w:marBottom w:val="0"/>
      <w:divBdr>
        <w:top w:val="none" w:sz="0" w:space="0" w:color="auto"/>
        <w:left w:val="none" w:sz="0" w:space="0" w:color="auto"/>
        <w:bottom w:val="none" w:sz="0" w:space="0" w:color="auto"/>
        <w:right w:val="none" w:sz="0" w:space="0" w:color="auto"/>
      </w:divBdr>
    </w:div>
    <w:div w:id="1865628025">
      <w:bodyDiv w:val="1"/>
      <w:marLeft w:val="0"/>
      <w:marRight w:val="0"/>
      <w:marTop w:val="0"/>
      <w:marBottom w:val="0"/>
      <w:divBdr>
        <w:top w:val="none" w:sz="0" w:space="0" w:color="auto"/>
        <w:left w:val="none" w:sz="0" w:space="0" w:color="auto"/>
        <w:bottom w:val="none" w:sz="0" w:space="0" w:color="auto"/>
        <w:right w:val="none" w:sz="0" w:space="0" w:color="auto"/>
      </w:divBdr>
    </w:div>
    <w:div w:id="1943798539">
      <w:bodyDiv w:val="1"/>
      <w:marLeft w:val="0"/>
      <w:marRight w:val="0"/>
      <w:marTop w:val="0"/>
      <w:marBottom w:val="0"/>
      <w:divBdr>
        <w:top w:val="none" w:sz="0" w:space="0" w:color="auto"/>
        <w:left w:val="none" w:sz="0" w:space="0" w:color="auto"/>
        <w:bottom w:val="none" w:sz="0" w:space="0" w:color="auto"/>
        <w:right w:val="none" w:sz="0" w:space="0" w:color="auto"/>
      </w:divBdr>
    </w:div>
    <w:div w:id="2019772194">
      <w:bodyDiv w:val="1"/>
      <w:marLeft w:val="0"/>
      <w:marRight w:val="0"/>
      <w:marTop w:val="0"/>
      <w:marBottom w:val="0"/>
      <w:divBdr>
        <w:top w:val="none" w:sz="0" w:space="0" w:color="auto"/>
        <w:left w:val="none" w:sz="0" w:space="0" w:color="auto"/>
        <w:bottom w:val="none" w:sz="0" w:space="0" w:color="auto"/>
        <w:right w:val="none" w:sz="0" w:space="0" w:color="auto"/>
      </w:divBdr>
      <w:divsChild>
        <w:div w:id="390160131">
          <w:marLeft w:val="0"/>
          <w:marRight w:val="0"/>
          <w:marTop w:val="0"/>
          <w:marBottom w:val="0"/>
          <w:divBdr>
            <w:top w:val="none" w:sz="0" w:space="0" w:color="auto"/>
            <w:left w:val="none" w:sz="0" w:space="0" w:color="auto"/>
            <w:bottom w:val="none" w:sz="0" w:space="0" w:color="auto"/>
            <w:right w:val="none" w:sz="0" w:space="0" w:color="auto"/>
          </w:divBdr>
          <w:divsChild>
            <w:div w:id="2005743754">
              <w:marLeft w:val="0"/>
              <w:marRight w:val="0"/>
              <w:marTop w:val="0"/>
              <w:marBottom w:val="0"/>
              <w:divBdr>
                <w:top w:val="none" w:sz="0" w:space="0" w:color="auto"/>
                <w:left w:val="none" w:sz="0" w:space="0" w:color="auto"/>
                <w:bottom w:val="none" w:sz="0" w:space="0" w:color="auto"/>
                <w:right w:val="none" w:sz="0" w:space="0" w:color="auto"/>
              </w:divBdr>
            </w:div>
          </w:divsChild>
        </w:div>
        <w:div w:id="797920534">
          <w:marLeft w:val="0"/>
          <w:marRight w:val="0"/>
          <w:marTop w:val="0"/>
          <w:marBottom w:val="0"/>
          <w:divBdr>
            <w:top w:val="none" w:sz="0" w:space="0" w:color="auto"/>
            <w:left w:val="none" w:sz="0" w:space="0" w:color="auto"/>
            <w:bottom w:val="none" w:sz="0" w:space="0" w:color="auto"/>
            <w:right w:val="none" w:sz="0" w:space="0" w:color="auto"/>
          </w:divBdr>
          <w:divsChild>
            <w:div w:id="2008438825">
              <w:marLeft w:val="0"/>
              <w:marRight w:val="0"/>
              <w:marTop w:val="0"/>
              <w:marBottom w:val="0"/>
              <w:divBdr>
                <w:top w:val="none" w:sz="0" w:space="0" w:color="auto"/>
                <w:left w:val="none" w:sz="0" w:space="0" w:color="auto"/>
                <w:bottom w:val="none" w:sz="0" w:space="0" w:color="auto"/>
                <w:right w:val="none" w:sz="0" w:space="0" w:color="auto"/>
              </w:divBdr>
            </w:div>
          </w:divsChild>
        </w:div>
        <w:div w:id="1074858886">
          <w:marLeft w:val="0"/>
          <w:marRight w:val="0"/>
          <w:marTop w:val="0"/>
          <w:marBottom w:val="0"/>
          <w:divBdr>
            <w:top w:val="none" w:sz="0" w:space="0" w:color="auto"/>
            <w:left w:val="none" w:sz="0" w:space="0" w:color="auto"/>
            <w:bottom w:val="none" w:sz="0" w:space="0" w:color="auto"/>
            <w:right w:val="none" w:sz="0" w:space="0" w:color="auto"/>
          </w:divBdr>
          <w:divsChild>
            <w:div w:id="157696263">
              <w:marLeft w:val="0"/>
              <w:marRight w:val="0"/>
              <w:marTop w:val="0"/>
              <w:marBottom w:val="0"/>
              <w:divBdr>
                <w:top w:val="none" w:sz="0" w:space="0" w:color="auto"/>
                <w:left w:val="none" w:sz="0" w:space="0" w:color="auto"/>
                <w:bottom w:val="none" w:sz="0" w:space="0" w:color="auto"/>
                <w:right w:val="none" w:sz="0" w:space="0" w:color="auto"/>
              </w:divBdr>
            </w:div>
          </w:divsChild>
        </w:div>
        <w:div w:id="1094938733">
          <w:marLeft w:val="0"/>
          <w:marRight w:val="0"/>
          <w:marTop w:val="0"/>
          <w:marBottom w:val="0"/>
          <w:divBdr>
            <w:top w:val="none" w:sz="0" w:space="0" w:color="auto"/>
            <w:left w:val="none" w:sz="0" w:space="0" w:color="auto"/>
            <w:bottom w:val="none" w:sz="0" w:space="0" w:color="auto"/>
            <w:right w:val="none" w:sz="0" w:space="0" w:color="auto"/>
          </w:divBdr>
          <w:divsChild>
            <w:div w:id="564149627">
              <w:marLeft w:val="0"/>
              <w:marRight w:val="0"/>
              <w:marTop w:val="0"/>
              <w:marBottom w:val="0"/>
              <w:divBdr>
                <w:top w:val="none" w:sz="0" w:space="0" w:color="auto"/>
                <w:left w:val="none" w:sz="0" w:space="0" w:color="auto"/>
                <w:bottom w:val="none" w:sz="0" w:space="0" w:color="auto"/>
                <w:right w:val="none" w:sz="0" w:space="0" w:color="auto"/>
              </w:divBdr>
            </w:div>
          </w:divsChild>
        </w:div>
        <w:div w:id="1211459321">
          <w:marLeft w:val="0"/>
          <w:marRight w:val="0"/>
          <w:marTop w:val="0"/>
          <w:marBottom w:val="0"/>
          <w:divBdr>
            <w:top w:val="none" w:sz="0" w:space="0" w:color="auto"/>
            <w:left w:val="none" w:sz="0" w:space="0" w:color="auto"/>
            <w:bottom w:val="none" w:sz="0" w:space="0" w:color="auto"/>
            <w:right w:val="none" w:sz="0" w:space="0" w:color="auto"/>
          </w:divBdr>
          <w:divsChild>
            <w:div w:id="701134264">
              <w:marLeft w:val="0"/>
              <w:marRight w:val="0"/>
              <w:marTop w:val="0"/>
              <w:marBottom w:val="0"/>
              <w:divBdr>
                <w:top w:val="none" w:sz="0" w:space="0" w:color="auto"/>
                <w:left w:val="none" w:sz="0" w:space="0" w:color="auto"/>
                <w:bottom w:val="none" w:sz="0" w:space="0" w:color="auto"/>
                <w:right w:val="none" w:sz="0" w:space="0" w:color="auto"/>
              </w:divBdr>
            </w:div>
          </w:divsChild>
        </w:div>
        <w:div w:id="1472135652">
          <w:marLeft w:val="0"/>
          <w:marRight w:val="0"/>
          <w:marTop w:val="0"/>
          <w:marBottom w:val="0"/>
          <w:divBdr>
            <w:top w:val="none" w:sz="0" w:space="0" w:color="auto"/>
            <w:left w:val="none" w:sz="0" w:space="0" w:color="auto"/>
            <w:bottom w:val="none" w:sz="0" w:space="0" w:color="auto"/>
            <w:right w:val="none" w:sz="0" w:space="0" w:color="auto"/>
          </w:divBdr>
          <w:divsChild>
            <w:div w:id="1121919941">
              <w:marLeft w:val="0"/>
              <w:marRight w:val="0"/>
              <w:marTop w:val="0"/>
              <w:marBottom w:val="0"/>
              <w:divBdr>
                <w:top w:val="none" w:sz="0" w:space="0" w:color="auto"/>
                <w:left w:val="none" w:sz="0" w:space="0" w:color="auto"/>
                <w:bottom w:val="none" w:sz="0" w:space="0" w:color="auto"/>
                <w:right w:val="none" w:sz="0" w:space="0" w:color="auto"/>
              </w:divBdr>
            </w:div>
          </w:divsChild>
        </w:div>
        <w:div w:id="1704401027">
          <w:marLeft w:val="0"/>
          <w:marRight w:val="0"/>
          <w:marTop w:val="0"/>
          <w:marBottom w:val="0"/>
          <w:divBdr>
            <w:top w:val="none" w:sz="0" w:space="0" w:color="auto"/>
            <w:left w:val="none" w:sz="0" w:space="0" w:color="auto"/>
            <w:bottom w:val="none" w:sz="0" w:space="0" w:color="auto"/>
            <w:right w:val="none" w:sz="0" w:space="0" w:color="auto"/>
          </w:divBdr>
          <w:divsChild>
            <w:div w:id="1963804046">
              <w:marLeft w:val="0"/>
              <w:marRight w:val="0"/>
              <w:marTop w:val="0"/>
              <w:marBottom w:val="0"/>
              <w:divBdr>
                <w:top w:val="none" w:sz="0" w:space="0" w:color="auto"/>
                <w:left w:val="none" w:sz="0" w:space="0" w:color="auto"/>
                <w:bottom w:val="none" w:sz="0" w:space="0" w:color="auto"/>
                <w:right w:val="none" w:sz="0" w:space="0" w:color="auto"/>
              </w:divBdr>
            </w:div>
          </w:divsChild>
        </w:div>
        <w:div w:id="1718384631">
          <w:marLeft w:val="0"/>
          <w:marRight w:val="0"/>
          <w:marTop w:val="0"/>
          <w:marBottom w:val="0"/>
          <w:divBdr>
            <w:top w:val="none" w:sz="0" w:space="0" w:color="auto"/>
            <w:left w:val="none" w:sz="0" w:space="0" w:color="auto"/>
            <w:bottom w:val="none" w:sz="0" w:space="0" w:color="auto"/>
            <w:right w:val="none" w:sz="0" w:space="0" w:color="auto"/>
          </w:divBdr>
          <w:divsChild>
            <w:div w:id="363142299">
              <w:marLeft w:val="0"/>
              <w:marRight w:val="0"/>
              <w:marTop w:val="0"/>
              <w:marBottom w:val="0"/>
              <w:divBdr>
                <w:top w:val="none" w:sz="0" w:space="0" w:color="auto"/>
                <w:left w:val="none" w:sz="0" w:space="0" w:color="auto"/>
                <w:bottom w:val="none" w:sz="0" w:space="0" w:color="auto"/>
                <w:right w:val="none" w:sz="0" w:space="0" w:color="auto"/>
              </w:divBdr>
            </w:div>
          </w:divsChild>
        </w:div>
        <w:div w:id="2073191666">
          <w:marLeft w:val="0"/>
          <w:marRight w:val="0"/>
          <w:marTop w:val="0"/>
          <w:marBottom w:val="0"/>
          <w:divBdr>
            <w:top w:val="none" w:sz="0" w:space="0" w:color="auto"/>
            <w:left w:val="none" w:sz="0" w:space="0" w:color="auto"/>
            <w:bottom w:val="none" w:sz="0" w:space="0" w:color="auto"/>
            <w:right w:val="none" w:sz="0" w:space="0" w:color="auto"/>
          </w:divBdr>
          <w:divsChild>
            <w:div w:id="750541300">
              <w:marLeft w:val="0"/>
              <w:marRight w:val="0"/>
              <w:marTop w:val="0"/>
              <w:marBottom w:val="0"/>
              <w:divBdr>
                <w:top w:val="none" w:sz="0" w:space="0" w:color="auto"/>
                <w:left w:val="none" w:sz="0" w:space="0" w:color="auto"/>
                <w:bottom w:val="none" w:sz="0" w:space="0" w:color="auto"/>
                <w:right w:val="none" w:sz="0" w:space="0" w:color="auto"/>
              </w:divBdr>
            </w:div>
          </w:divsChild>
        </w:div>
        <w:div w:id="2121027032">
          <w:marLeft w:val="0"/>
          <w:marRight w:val="0"/>
          <w:marTop w:val="0"/>
          <w:marBottom w:val="0"/>
          <w:divBdr>
            <w:top w:val="none" w:sz="0" w:space="0" w:color="auto"/>
            <w:left w:val="none" w:sz="0" w:space="0" w:color="auto"/>
            <w:bottom w:val="none" w:sz="0" w:space="0" w:color="auto"/>
            <w:right w:val="none" w:sz="0" w:space="0" w:color="auto"/>
          </w:divBdr>
          <w:divsChild>
            <w:div w:id="47476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89144">
      <w:bodyDiv w:val="1"/>
      <w:marLeft w:val="0"/>
      <w:marRight w:val="0"/>
      <w:marTop w:val="0"/>
      <w:marBottom w:val="0"/>
      <w:divBdr>
        <w:top w:val="none" w:sz="0" w:space="0" w:color="auto"/>
        <w:left w:val="none" w:sz="0" w:space="0" w:color="auto"/>
        <w:bottom w:val="none" w:sz="0" w:space="0" w:color="auto"/>
        <w:right w:val="none" w:sz="0" w:space="0" w:color="auto"/>
      </w:divBdr>
      <w:divsChild>
        <w:div w:id="227881244">
          <w:marLeft w:val="0"/>
          <w:marRight w:val="0"/>
          <w:marTop w:val="0"/>
          <w:marBottom w:val="0"/>
          <w:divBdr>
            <w:top w:val="none" w:sz="0" w:space="0" w:color="auto"/>
            <w:left w:val="none" w:sz="0" w:space="0" w:color="auto"/>
            <w:bottom w:val="none" w:sz="0" w:space="0" w:color="auto"/>
            <w:right w:val="none" w:sz="0" w:space="0" w:color="auto"/>
          </w:divBdr>
          <w:divsChild>
            <w:div w:id="590167405">
              <w:marLeft w:val="0"/>
              <w:marRight w:val="0"/>
              <w:marTop w:val="0"/>
              <w:marBottom w:val="0"/>
              <w:divBdr>
                <w:top w:val="none" w:sz="0" w:space="0" w:color="auto"/>
                <w:left w:val="none" w:sz="0" w:space="0" w:color="auto"/>
                <w:bottom w:val="none" w:sz="0" w:space="0" w:color="auto"/>
                <w:right w:val="none" w:sz="0" w:space="0" w:color="auto"/>
              </w:divBdr>
            </w:div>
          </w:divsChild>
        </w:div>
        <w:div w:id="274992273">
          <w:marLeft w:val="0"/>
          <w:marRight w:val="0"/>
          <w:marTop w:val="0"/>
          <w:marBottom w:val="0"/>
          <w:divBdr>
            <w:top w:val="none" w:sz="0" w:space="0" w:color="auto"/>
            <w:left w:val="none" w:sz="0" w:space="0" w:color="auto"/>
            <w:bottom w:val="none" w:sz="0" w:space="0" w:color="auto"/>
            <w:right w:val="none" w:sz="0" w:space="0" w:color="auto"/>
          </w:divBdr>
          <w:divsChild>
            <w:div w:id="157229362">
              <w:marLeft w:val="0"/>
              <w:marRight w:val="0"/>
              <w:marTop w:val="0"/>
              <w:marBottom w:val="0"/>
              <w:divBdr>
                <w:top w:val="none" w:sz="0" w:space="0" w:color="auto"/>
                <w:left w:val="none" w:sz="0" w:space="0" w:color="auto"/>
                <w:bottom w:val="none" w:sz="0" w:space="0" w:color="auto"/>
                <w:right w:val="none" w:sz="0" w:space="0" w:color="auto"/>
              </w:divBdr>
            </w:div>
          </w:divsChild>
        </w:div>
        <w:div w:id="514731549">
          <w:marLeft w:val="0"/>
          <w:marRight w:val="0"/>
          <w:marTop w:val="0"/>
          <w:marBottom w:val="0"/>
          <w:divBdr>
            <w:top w:val="none" w:sz="0" w:space="0" w:color="auto"/>
            <w:left w:val="none" w:sz="0" w:space="0" w:color="auto"/>
            <w:bottom w:val="none" w:sz="0" w:space="0" w:color="auto"/>
            <w:right w:val="none" w:sz="0" w:space="0" w:color="auto"/>
          </w:divBdr>
          <w:divsChild>
            <w:div w:id="608240741">
              <w:marLeft w:val="0"/>
              <w:marRight w:val="0"/>
              <w:marTop w:val="0"/>
              <w:marBottom w:val="0"/>
              <w:divBdr>
                <w:top w:val="none" w:sz="0" w:space="0" w:color="auto"/>
                <w:left w:val="none" w:sz="0" w:space="0" w:color="auto"/>
                <w:bottom w:val="none" w:sz="0" w:space="0" w:color="auto"/>
                <w:right w:val="none" w:sz="0" w:space="0" w:color="auto"/>
              </w:divBdr>
            </w:div>
          </w:divsChild>
        </w:div>
        <w:div w:id="671686239">
          <w:marLeft w:val="0"/>
          <w:marRight w:val="0"/>
          <w:marTop w:val="0"/>
          <w:marBottom w:val="0"/>
          <w:divBdr>
            <w:top w:val="none" w:sz="0" w:space="0" w:color="auto"/>
            <w:left w:val="none" w:sz="0" w:space="0" w:color="auto"/>
            <w:bottom w:val="none" w:sz="0" w:space="0" w:color="auto"/>
            <w:right w:val="none" w:sz="0" w:space="0" w:color="auto"/>
          </w:divBdr>
          <w:divsChild>
            <w:div w:id="54741949">
              <w:marLeft w:val="0"/>
              <w:marRight w:val="0"/>
              <w:marTop w:val="0"/>
              <w:marBottom w:val="0"/>
              <w:divBdr>
                <w:top w:val="none" w:sz="0" w:space="0" w:color="auto"/>
                <w:left w:val="none" w:sz="0" w:space="0" w:color="auto"/>
                <w:bottom w:val="none" w:sz="0" w:space="0" w:color="auto"/>
                <w:right w:val="none" w:sz="0" w:space="0" w:color="auto"/>
              </w:divBdr>
            </w:div>
          </w:divsChild>
        </w:div>
        <w:div w:id="745037670">
          <w:marLeft w:val="0"/>
          <w:marRight w:val="0"/>
          <w:marTop w:val="0"/>
          <w:marBottom w:val="0"/>
          <w:divBdr>
            <w:top w:val="none" w:sz="0" w:space="0" w:color="auto"/>
            <w:left w:val="none" w:sz="0" w:space="0" w:color="auto"/>
            <w:bottom w:val="none" w:sz="0" w:space="0" w:color="auto"/>
            <w:right w:val="none" w:sz="0" w:space="0" w:color="auto"/>
          </w:divBdr>
          <w:divsChild>
            <w:div w:id="1078553599">
              <w:marLeft w:val="0"/>
              <w:marRight w:val="0"/>
              <w:marTop w:val="0"/>
              <w:marBottom w:val="0"/>
              <w:divBdr>
                <w:top w:val="none" w:sz="0" w:space="0" w:color="auto"/>
                <w:left w:val="none" w:sz="0" w:space="0" w:color="auto"/>
                <w:bottom w:val="none" w:sz="0" w:space="0" w:color="auto"/>
                <w:right w:val="none" w:sz="0" w:space="0" w:color="auto"/>
              </w:divBdr>
            </w:div>
          </w:divsChild>
        </w:div>
        <w:div w:id="807170416">
          <w:marLeft w:val="0"/>
          <w:marRight w:val="0"/>
          <w:marTop w:val="0"/>
          <w:marBottom w:val="0"/>
          <w:divBdr>
            <w:top w:val="none" w:sz="0" w:space="0" w:color="auto"/>
            <w:left w:val="none" w:sz="0" w:space="0" w:color="auto"/>
            <w:bottom w:val="none" w:sz="0" w:space="0" w:color="auto"/>
            <w:right w:val="none" w:sz="0" w:space="0" w:color="auto"/>
          </w:divBdr>
          <w:divsChild>
            <w:div w:id="3368181">
              <w:marLeft w:val="0"/>
              <w:marRight w:val="0"/>
              <w:marTop w:val="0"/>
              <w:marBottom w:val="0"/>
              <w:divBdr>
                <w:top w:val="none" w:sz="0" w:space="0" w:color="auto"/>
                <w:left w:val="none" w:sz="0" w:space="0" w:color="auto"/>
                <w:bottom w:val="none" w:sz="0" w:space="0" w:color="auto"/>
                <w:right w:val="none" w:sz="0" w:space="0" w:color="auto"/>
              </w:divBdr>
            </w:div>
          </w:divsChild>
        </w:div>
        <w:div w:id="920915742">
          <w:marLeft w:val="0"/>
          <w:marRight w:val="0"/>
          <w:marTop w:val="0"/>
          <w:marBottom w:val="0"/>
          <w:divBdr>
            <w:top w:val="none" w:sz="0" w:space="0" w:color="auto"/>
            <w:left w:val="none" w:sz="0" w:space="0" w:color="auto"/>
            <w:bottom w:val="none" w:sz="0" w:space="0" w:color="auto"/>
            <w:right w:val="none" w:sz="0" w:space="0" w:color="auto"/>
          </w:divBdr>
          <w:divsChild>
            <w:div w:id="88745748">
              <w:marLeft w:val="0"/>
              <w:marRight w:val="0"/>
              <w:marTop w:val="0"/>
              <w:marBottom w:val="0"/>
              <w:divBdr>
                <w:top w:val="none" w:sz="0" w:space="0" w:color="auto"/>
                <w:left w:val="none" w:sz="0" w:space="0" w:color="auto"/>
                <w:bottom w:val="none" w:sz="0" w:space="0" w:color="auto"/>
                <w:right w:val="none" w:sz="0" w:space="0" w:color="auto"/>
              </w:divBdr>
            </w:div>
          </w:divsChild>
        </w:div>
        <w:div w:id="1032269173">
          <w:marLeft w:val="0"/>
          <w:marRight w:val="0"/>
          <w:marTop w:val="0"/>
          <w:marBottom w:val="0"/>
          <w:divBdr>
            <w:top w:val="none" w:sz="0" w:space="0" w:color="auto"/>
            <w:left w:val="none" w:sz="0" w:space="0" w:color="auto"/>
            <w:bottom w:val="none" w:sz="0" w:space="0" w:color="auto"/>
            <w:right w:val="none" w:sz="0" w:space="0" w:color="auto"/>
          </w:divBdr>
          <w:divsChild>
            <w:div w:id="148526284">
              <w:marLeft w:val="0"/>
              <w:marRight w:val="0"/>
              <w:marTop w:val="0"/>
              <w:marBottom w:val="0"/>
              <w:divBdr>
                <w:top w:val="none" w:sz="0" w:space="0" w:color="auto"/>
                <w:left w:val="none" w:sz="0" w:space="0" w:color="auto"/>
                <w:bottom w:val="none" w:sz="0" w:space="0" w:color="auto"/>
                <w:right w:val="none" w:sz="0" w:space="0" w:color="auto"/>
              </w:divBdr>
            </w:div>
          </w:divsChild>
        </w:div>
        <w:div w:id="1052269835">
          <w:marLeft w:val="0"/>
          <w:marRight w:val="0"/>
          <w:marTop w:val="0"/>
          <w:marBottom w:val="0"/>
          <w:divBdr>
            <w:top w:val="none" w:sz="0" w:space="0" w:color="auto"/>
            <w:left w:val="none" w:sz="0" w:space="0" w:color="auto"/>
            <w:bottom w:val="none" w:sz="0" w:space="0" w:color="auto"/>
            <w:right w:val="none" w:sz="0" w:space="0" w:color="auto"/>
          </w:divBdr>
          <w:divsChild>
            <w:div w:id="203761868">
              <w:marLeft w:val="0"/>
              <w:marRight w:val="0"/>
              <w:marTop w:val="0"/>
              <w:marBottom w:val="0"/>
              <w:divBdr>
                <w:top w:val="none" w:sz="0" w:space="0" w:color="auto"/>
                <w:left w:val="none" w:sz="0" w:space="0" w:color="auto"/>
                <w:bottom w:val="none" w:sz="0" w:space="0" w:color="auto"/>
                <w:right w:val="none" w:sz="0" w:space="0" w:color="auto"/>
              </w:divBdr>
            </w:div>
          </w:divsChild>
        </w:div>
        <w:div w:id="1984002161">
          <w:marLeft w:val="0"/>
          <w:marRight w:val="0"/>
          <w:marTop w:val="0"/>
          <w:marBottom w:val="0"/>
          <w:divBdr>
            <w:top w:val="none" w:sz="0" w:space="0" w:color="auto"/>
            <w:left w:val="none" w:sz="0" w:space="0" w:color="auto"/>
            <w:bottom w:val="none" w:sz="0" w:space="0" w:color="auto"/>
            <w:right w:val="none" w:sz="0" w:space="0" w:color="auto"/>
          </w:divBdr>
          <w:divsChild>
            <w:div w:id="18648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839">
      <w:bodyDiv w:val="1"/>
      <w:marLeft w:val="0"/>
      <w:marRight w:val="0"/>
      <w:marTop w:val="0"/>
      <w:marBottom w:val="0"/>
      <w:divBdr>
        <w:top w:val="none" w:sz="0" w:space="0" w:color="auto"/>
        <w:left w:val="none" w:sz="0" w:space="0" w:color="auto"/>
        <w:bottom w:val="none" w:sz="0" w:space="0" w:color="auto"/>
        <w:right w:val="none" w:sz="0" w:space="0" w:color="auto"/>
      </w:divBdr>
    </w:div>
    <w:div w:id="208105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parliament.scot/docu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parliament.sco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publichealthscotland.scot/publications/drug-and-alcohol-information-system-daisy/drug-and-alcohol-information-system-daisy-overview-of-initial-assessments-for-specialist-drug-and-alcohol-treatment-202122-and-202223/" TargetMode="External"/><Relationship Id="rId18" Type="http://schemas.openxmlformats.org/officeDocument/2006/relationships/hyperlink" Target="https://www.gov.scot/publications/national-mission-drugs-annual-monitoring-report-2022-2023/" TargetMode="External"/><Relationship Id="rId26" Type="http://schemas.openxmlformats.org/officeDocument/2006/relationships/hyperlink" Target="https://publichealthscotland.scot/publications/drug-and-alcohol-information-system-daisy/drug-and-alcohol-information-system-daisy-overview-of-initial-assessments-for-specialist-drug-and-alcohol-treatment-202122-and-202223/" TargetMode="External"/><Relationship Id="rId39" Type="http://schemas.openxmlformats.org/officeDocument/2006/relationships/hyperlink" Target="https://services.nhslothian.scot/leap/wp-content/uploads/sites/57/2022/08/Leap-Info-for-Professionals.pdf" TargetMode="External"/><Relationship Id="rId21" Type="http://schemas.openxmlformats.org/officeDocument/2006/relationships/hyperlink" Target="https://www.gov.scot/publications/suspected-drug-deaths-scotland-october-december-2023/pages/3/" TargetMode="External"/><Relationship Id="rId34" Type="http://schemas.openxmlformats.org/officeDocument/2006/relationships/hyperlink" Target="https://www.gov.scot/publications/residential-rehabilitation-working-group-preliminary-recommendations-drug-alcohol-residential-treatment-services/" TargetMode="External"/><Relationship Id="rId42" Type="http://schemas.openxmlformats.org/officeDocument/2006/relationships/hyperlink" Target="https://www.gov.scot/binaries/content/documents/govscot/publications/research-and-analysis/2021/11/pathways-through-out-residential-rehabilitation-scotland/documents/results-residential-rehabilitation-providers-survey/results-residential-rehabilitation-providers-survey/govscot%3Adocument/results-residential-rehabilitation-providers-survey.pdf" TargetMode="External"/><Relationship Id="rId47" Type="http://schemas.openxmlformats.org/officeDocument/2006/relationships/hyperlink" Target="https://www.gov.scot/publications/national-mission-drugs-annual-monitoring-report-2022-2023/" TargetMode="External"/><Relationship Id="rId50" Type="http://schemas.openxmlformats.org/officeDocument/2006/relationships/hyperlink" Target="https://www.gov.scot/binaries/content/documents/govscot/publications/research-and-analysis/2021/11/pathways-through-out-residential-rehabilitation-scotland/documents/results-residential-rehabilitation-providers-survey/results-residential-rehabilitation-providers-survey/govscot%3Adocument/results-residential-rehabilitation-providers-survey.pdf" TargetMode="External"/><Relationship Id="rId55" Type="http://schemas.openxmlformats.org/officeDocument/2006/relationships/hyperlink" Target="https://publichealthscotland.scot/media/24445/report-q2-2023-24-drug-alcohol-waiting-times.pdf" TargetMode="External"/><Relationship Id="rId63" Type="http://schemas.openxmlformats.org/officeDocument/2006/relationships/hyperlink" Target="https://www.healthscotland.scot/health-topics/drugs/drugs-overview" TargetMode="External"/><Relationship Id="rId7" Type="http://schemas.openxmlformats.org/officeDocument/2006/relationships/hyperlink" Target="https://www.parliament.scot/chamber-and-committees/official-report/search-what-was-said-in-parliament/meeting-of-parliament-11-01-2024?meeting=15637&amp;iob=133439" TargetMode="External"/><Relationship Id="rId2" Type="http://schemas.openxmlformats.org/officeDocument/2006/relationships/hyperlink" Target="https://www.gov.scot/publications/national-mission-drugs-annual-report-2022-23/" TargetMode="External"/><Relationship Id="rId16" Type="http://schemas.openxmlformats.org/officeDocument/2006/relationships/hyperlink" Target="https://www.gov.scot/publications/national-mission-drugs-annual-monitoring-report-2022-2023/" TargetMode="External"/><Relationship Id="rId20" Type="http://schemas.openxmlformats.org/officeDocument/2006/relationships/hyperlink" Target="https://www.gov.scot/publications/national-mission-drugs-annual-monitoring-report-2022-2023/" TargetMode="External"/><Relationship Id="rId29" Type="http://schemas.openxmlformats.org/officeDocument/2006/relationships/hyperlink" Target="https://www.alcohol-focus-scotland.org.uk/alcohol-information/alcohol-facts-and-figures/" TargetMode="External"/><Relationship Id="rId41" Type="http://schemas.openxmlformats.org/officeDocument/2006/relationships/hyperlink" Target="https://publichealthscotland.scot/media/25128/v5_rr-evaluation-baseline-findings.pdf" TargetMode="External"/><Relationship Id="rId54" Type="http://schemas.openxmlformats.org/officeDocument/2006/relationships/hyperlink" Target="https://publichealthscotland.scot/media/24445/report-q2-2023-24-drug-alcohol-waiting-times.pdf" TargetMode="External"/><Relationship Id="rId62" Type="http://schemas.openxmlformats.org/officeDocument/2006/relationships/hyperlink" Target="https://www.gov.scot/publications/national-mission-drugs-annual-report-2022-23/" TargetMode="External"/><Relationship Id="rId1" Type="http://schemas.openxmlformats.org/officeDocument/2006/relationships/hyperlink" Target="https://www.audit-scotland.gov.uk/uploads/docs/report/2022/briefing_220308_drugs_alcohol.pdf" TargetMode="External"/><Relationship Id="rId6" Type="http://schemas.openxmlformats.org/officeDocument/2006/relationships/hyperlink" Target="https://www.gov.scot/publications/scottish-budget-2023-24/pages/2/" TargetMode="External"/><Relationship Id="rId11" Type="http://schemas.openxmlformats.org/officeDocument/2006/relationships/hyperlink" Target="https://www.healthscotland.scot/health-topics/drugs/drugs-overview" TargetMode="External"/><Relationship Id="rId24" Type="http://schemas.openxmlformats.org/officeDocument/2006/relationships/hyperlink" Target="https://www.gov.scot/publications/scottish-health-survey-2022-volume-1-main-report/pages/10/" TargetMode="External"/><Relationship Id="rId32" Type="http://schemas.openxmlformats.org/officeDocument/2006/relationships/hyperlink" Target="https://publichealthscotland.scot/media/24445/report-q2-2023-24-drug-alcohol-waiting-times.pdf" TargetMode="External"/><Relationship Id="rId37" Type="http://schemas.openxmlformats.org/officeDocument/2006/relationships/hyperlink" Target="https://publichealthscotland.scot/media/25128/v5_rr-evaluation-baseline-findings.pdf" TargetMode="External"/><Relationship Id="rId40" Type="http://schemas.openxmlformats.org/officeDocument/2006/relationships/hyperlink" Target="https://nen.press/2021/12/01/leap-of-faith/" TargetMode="External"/><Relationship Id="rId45" Type="http://schemas.openxmlformats.org/officeDocument/2006/relationships/hyperlink" Target="https://view.officeapps.live.com/op/view.aspx?src=https%3A%2F%2Fwww.gov.scot%2Fbinaries%2Fcontent%2Fdocuments%2Fgovscot%2Fpublications%2Ftransparency-data%2F2019%2F03%2Falcohol-and-drug-partnerships-funding-allocations%2Fdocuments%2Falcohol-and-drug-partnerships-funding-allocation-2023-2024%2Falcohol-and-drug-partnerships-funding-allocation-2023-2024%2Fgovscot%253Adocument%2F23-24%252BADP%252BFunding%252Bfor%252Bpublish.xlsx&amp;wdOrigin=BROWSELINK" TargetMode="External"/><Relationship Id="rId53" Type="http://schemas.openxmlformats.org/officeDocument/2006/relationships/hyperlink" Target="https://publichealthscotland.scot/media/24445/report-q2-2023-24-drug-alcohol-waiting-times.pdf" TargetMode="External"/><Relationship Id="rId58" Type="http://schemas.openxmlformats.org/officeDocument/2006/relationships/hyperlink" Target="https://www.parliament.scot/-/media/files/legislation/bills/s6-bills/victims-witnesses-and-justice-reform-scotland-bill/introduced/financial-memorandum-accessible.pdf" TargetMode="External"/><Relationship Id="rId66" Type="http://schemas.openxmlformats.org/officeDocument/2006/relationships/hyperlink" Target="https://www.gov.uk/government/publications/review-of-drugs-phase-two-report/review-of-drugs-part-two-prevention-treatment-and-recovery" TargetMode="External"/><Relationship Id="rId5" Type="http://schemas.openxmlformats.org/officeDocument/2006/relationships/hyperlink" Target="https://www.gov.scot/publications/scottish-budget-2023-24/pages/5/" TargetMode="External"/><Relationship Id="rId15" Type="http://schemas.openxmlformats.org/officeDocument/2006/relationships/hyperlink" Target="https://publichealthscotland.scot/publications/drug-and-alcohol-information-system-daisy/drug-and-alcohol-information-system-daisy-overview-of-initial-assessments-for-specialist-drug-and-alcohol-treatment-202122-and-202223/" TargetMode="External"/><Relationship Id="rId23" Type="http://schemas.openxmlformats.org/officeDocument/2006/relationships/hyperlink" Target="https://www.gov.scot/publications/scottish-health-survey-2021-volume-1-main-report/pages/13/" TargetMode="External"/><Relationship Id="rId28" Type="http://schemas.openxmlformats.org/officeDocument/2006/relationships/hyperlink" Target="https://www.alcohol-focus-scotland.org.uk/alcohol-information/alcohol-facts-and-figures/" TargetMode="External"/><Relationship Id="rId36" Type="http://schemas.openxmlformats.org/officeDocument/2006/relationships/hyperlink" Target="https://publichealthscotland.scot/media/25128/v5_rr-evaluation-baseline-findings.pdf" TargetMode="External"/><Relationship Id="rId49" Type="http://schemas.openxmlformats.org/officeDocument/2006/relationships/hyperlink" Target="https://publichealthscotland.scot/media/24445/report-q2-2023-24-drug-alcohol-waiting-times.pdf" TargetMode="External"/><Relationship Id="rId57" Type="http://schemas.openxmlformats.org/officeDocument/2006/relationships/hyperlink" Target="https://www.gov.scot/publications/marketing-spend-2022-to-2023/" TargetMode="External"/><Relationship Id="rId61" Type="http://schemas.openxmlformats.org/officeDocument/2006/relationships/hyperlink" Target="https://www.corra.scot/wp-content/uploads/2023/09/National-Drugs-Mission-Funds_Progress-Report-2023.pdf" TargetMode="External"/><Relationship Id="rId10" Type="http://schemas.openxmlformats.org/officeDocument/2006/relationships/hyperlink" Target="https://www.gov.scot/publications/national-drugs-mission-plan-2022-2026/pages/3/" TargetMode="External"/><Relationship Id="rId19" Type="http://schemas.openxmlformats.org/officeDocument/2006/relationships/hyperlink" Target="https://www.nrscotland.gov.uk/news/2023/drug-related-deaths-decrease" TargetMode="External"/><Relationship Id="rId31" Type="http://schemas.openxmlformats.org/officeDocument/2006/relationships/hyperlink" Target="https://publichealthscotland.scot/publications/drug-and-alcohol-information-system-daisy/drug-and-alcohol-information-system-daisy-overview-of-initial-assessments-for-specialist-drug-and-alcohol-treatment-202122-and-202223/" TargetMode="External"/><Relationship Id="rId44" Type="http://schemas.openxmlformats.org/officeDocument/2006/relationships/hyperlink" Target="https://publichealthscotland.scot/media/25128/v5_rr-evaluation-baseline-findings.pdf" TargetMode="External"/><Relationship Id="rId52" Type="http://schemas.openxmlformats.org/officeDocument/2006/relationships/hyperlink" Target="https://scotland.shinyapps.io/PHS_drug_alcohol_waitingtimes/" TargetMode="External"/><Relationship Id="rId60" Type="http://schemas.openxmlformats.org/officeDocument/2006/relationships/hyperlink" Target="https://www.gov.scot/binaries/content/documents/govscot/publications/progress-report/2023/10/national-mission-drugs-annual-report-2022-23/documents/national-mission-drugs-annual-report-2022-2023/national-mission-drugs-annual-report-2022-2023/govscot%3Adocument/national-mission-drugs-annual-report-2022-2023.pdf" TargetMode="External"/><Relationship Id="rId65" Type="http://schemas.openxmlformats.org/officeDocument/2006/relationships/hyperlink" Target="https://www.gov.uk/government/publications/review-of-drugs-phase-two-report/review-of-drugs-part-two-prevention-treatment-and-recovery" TargetMode="External"/><Relationship Id="rId4" Type="http://schemas.openxmlformats.org/officeDocument/2006/relationships/hyperlink" Target="https://www.gov.scot/publications/national-mission-drugs-annual-report-2022-23/" TargetMode="External"/><Relationship Id="rId9" Type="http://schemas.openxmlformats.org/officeDocument/2006/relationships/hyperlink" Target="https://www.nrscotland.gov.uk/news/2023/scotland%E2%80%99s-census-first-results" TargetMode="External"/><Relationship Id="rId14" Type="http://schemas.openxmlformats.org/officeDocument/2006/relationships/hyperlink" Target="https://publichealthscotland.scot/media/20299/2023-06-27-daisy-treatment-tables.xlsx" TargetMode="External"/><Relationship Id="rId22" Type="http://schemas.openxmlformats.org/officeDocument/2006/relationships/hyperlink" Target="https://www.gov.scot/publications/scottish-health-survey-2022-volume-1-main-report/pages/10/" TargetMode="External"/><Relationship Id="rId27" Type="http://schemas.openxmlformats.org/officeDocument/2006/relationships/hyperlink" Target="https://www.alcohol-focus-scotland.org.uk/alcohol-information/alcohol-facts-and-figures/" TargetMode="External"/><Relationship Id="rId30" Type="http://schemas.openxmlformats.org/officeDocument/2006/relationships/hyperlink" Target="https://publichealthscotland.scot/publications/drug-and-alcohol-information-system-daisy/drug-and-alcohol-information-system-daisy-overview-of-initial-assessments-for-specialist-drug-and-alcohol-treatment-202122-and-202223/" TargetMode="External"/><Relationship Id="rId35" Type="http://schemas.openxmlformats.org/officeDocument/2006/relationships/hyperlink" Target="https://www.shaap.org.uk/blog/331-residential-rehabilitation-powering-up-in-2021.html" TargetMode="External"/><Relationship Id="rId43" Type="http://schemas.openxmlformats.org/officeDocument/2006/relationships/hyperlink" Target="https://www.gov.scot/binaries/content/documents/govscot/publications/research-and-analysis/2021/11/pathways-through-out-residential-rehabilitation-scotland/documents/results-residential-rehabilitation-providers-survey/results-residential-rehabilitation-providers-survey/govscot%3Adocument/results-residential-rehabilitation-providers-survey.pdf" TargetMode="External"/><Relationship Id="rId48" Type="http://schemas.openxmlformats.org/officeDocument/2006/relationships/hyperlink" Target="https://publichealthscotland.scot/publications/national-drug-and-alcohol-treatment-waiting-times/national-drug-and-alcohol-treatment-waiting-times-1-october-2023-to-31-december-2023/" TargetMode="External"/><Relationship Id="rId56" Type="http://schemas.openxmlformats.org/officeDocument/2006/relationships/hyperlink" Target="https://publichealthscotland.scot/media/24445/report-q2-2023-24-drug-alcohol-waiting-times.pdf" TargetMode="External"/><Relationship Id="rId64" Type="http://schemas.openxmlformats.org/officeDocument/2006/relationships/hyperlink" Target="https://www.gov.uk/government/collections/independent-review-of-drugs-by-professor-dame-carol-black" TargetMode="External"/><Relationship Id="rId8" Type="http://schemas.openxmlformats.org/officeDocument/2006/relationships/hyperlink" Target="https://www.ons.gov.uk/aboutus/transparencyandgovernance/freedomofinformationfoi/populationbreakdownandcareprovision" TargetMode="External"/><Relationship Id="rId51" Type="http://schemas.openxmlformats.org/officeDocument/2006/relationships/hyperlink" Target="https://www.gov.scot/publications/national-mission-drugs-annual-monitoring-report-2022-2023/" TargetMode="External"/><Relationship Id="rId3" Type="http://schemas.openxmlformats.org/officeDocument/2006/relationships/hyperlink" Target="https://www.gov.scot/binaries/content/documents/govscot/publications/progress-report/2023/10/national-mission-drugs-annual-report-2022-23/documents/national-mission-drugs-annual-report-2022-2023/national-mission-drugs-annual-report-2022-2023/govscot%3Adocument/national-mission-drugs-annual-report-2022-2023.pdf" TargetMode="External"/><Relationship Id="rId12" Type="http://schemas.openxmlformats.org/officeDocument/2006/relationships/hyperlink" Target="https://www.scotpho.org.uk/risk-factors/drugs/data/treatment-for-drug-use/" TargetMode="External"/><Relationship Id="rId17" Type="http://schemas.openxmlformats.org/officeDocument/2006/relationships/hyperlink" Target="https://www.parliament.scot/chamber-and-committees/official-report/search-what-was-said-in-parliament/meeting-of-parliament-08-02-2024?meeting=15698&amp;iob=133963" TargetMode="External"/><Relationship Id="rId25" Type="http://schemas.openxmlformats.org/officeDocument/2006/relationships/hyperlink" Target="https://www.drinkaware.co.uk/facts/health-effects-of-alcohol/mental-health/alcohol-dependence" TargetMode="External"/><Relationship Id="rId33" Type="http://schemas.openxmlformats.org/officeDocument/2006/relationships/hyperlink" Target="https://publichealthscotland.scot/media/26199/report-q3-2023-24-drug-alcohol-waiting-times.pdf" TargetMode="External"/><Relationship Id="rId38" Type="http://schemas.openxmlformats.org/officeDocument/2006/relationships/hyperlink" Target="https://www.gov.scot/publications/residential-rehab-scotland-status-report-current-levels-capacity/pages/5/" TargetMode="External"/><Relationship Id="rId46" Type="http://schemas.openxmlformats.org/officeDocument/2006/relationships/hyperlink" Target="https://www.gov.scot/publications/national-mission-drugs-annual-report-2022-23/" TargetMode="External"/><Relationship Id="rId59" Type="http://schemas.openxmlformats.org/officeDocument/2006/relationships/hyperlink" Target="https://www.gov.scot/publications/national-mission-drugs-annual-report-2022-23/pages/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ae4b3d-89b0-4287-b514-253578f20458" xsi:nil="true"/>
    <gd3e280c44c043e38ab992083fd5c2fd xmlns="2aae4b3d-89b0-4287-b514-253578f20458">
      <Terms xmlns="http://schemas.microsoft.com/office/infopath/2007/PartnerControls"/>
    </gd3e280c44c043e38ab992083fd5c2fd>
    <ha2d3fbb5bda47118db6a0a97a3a64c7 xmlns="2aae4b3d-89b0-4287-b514-253578f20458">
      <Terms xmlns="http://schemas.microsoft.com/office/infopath/2007/PartnerControls"/>
    </ha2d3fbb5bda47118db6a0a97a3a64c7>
    <_dlc_DocId xmlns="b0cb3f79-7a87-4aaf-85e3-8b06bdbcb05a">CHS6NGBU-67335888-4662</_dlc_DocId>
    <_dlc_DocIdUrl xmlns="b0cb3f79-7a87-4aaf-85e3-8b06bdbcb05a">
      <Url>https://scottish4.sharepoint.com/sites/chamber-s6-ngbu/_layouts/15/DocIdRedir.aspx?ID=CHS6NGBU-67335888-4662</Url>
      <Description>CHS6NGBU-67335888-4662</Description>
    </_dlc_DocIdUrl>
    <me0ca972d02b47c28edd321aedd6af02 xmlns="2aae4b3d-89b0-4287-b514-253578f20458">
      <Terms xmlns="http://schemas.microsoft.com/office/infopath/2007/PartnerControls"/>
    </me0ca972d02b47c28edd321aedd6af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S document" ma:contentTypeID="0x0101005E5DD8656D982041A2F2278B8806232B0100BE20882A1C80BF42AB8BB49A895FBC66" ma:contentTypeVersion="32" ma:contentTypeDescription="" ma:contentTypeScope="" ma:versionID="eea142326d11b72b240be66eb71fafda">
  <xsd:schema xmlns:xsd="http://www.w3.org/2001/XMLSchema" xmlns:xs="http://www.w3.org/2001/XMLSchema" xmlns:p="http://schemas.microsoft.com/office/2006/metadata/properties" xmlns:ns2="2aae4b3d-89b0-4287-b514-253578f20458" xmlns:ns3="b0cb3f79-7a87-4aaf-85e3-8b06bdbcb05a" targetNamespace="http://schemas.microsoft.com/office/2006/metadata/properties" ma:root="true" ma:fieldsID="6855b1e57700c408901fd4622bb96de0" ns2:_="" ns3:_="">
    <xsd:import namespace="2aae4b3d-89b0-4287-b514-253578f20458"/>
    <xsd:import namespace="b0cb3f79-7a87-4aaf-85e3-8b06bdbcb05a"/>
    <xsd:element name="properties">
      <xsd:complexType>
        <xsd:sequence>
          <xsd:element name="documentManagement">
            <xsd:complexType>
              <xsd:all>
                <xsd:element ref="ns2:me0ca972d02b47c28edd321aedd6af02" minOccurs="0"/>
                <xsd:element ref="ns2:TaxCatchAll" minOccurs="0"/>
                <xsd:element ref="ns2:TaxCatchAllLabel" minOccurs="0"/>
                <xsd:element ref="ns2:ha2d3fbb5bda47118db6a0a97a3a64c7" minOccurs="0"/>
                <xsd:element ref="ns2:gd3e280c44c043e38ab992083fd5c2f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4b3d-89b0-4287-b514-253578f20458" elementFormDefault="qualified">
    <xsd:import namespace="http://schemas.microsoft.com/office/2006/documentManagement/types"/>
    <xsd:import namespace="http://schemas.microsoft.com/office/infopath/2007/PartnerControls"/>
    <xsd:element name="me0ca972d02b47c28edd321aedd6af02" ma:index="8" nillable="true" ma:taxonomy="true" ma:internalName="me0ca972d02b47c28edd321aedd6af02" ma:taxonomyFieldName="Record_x0020_classification" ma:displayName="Record classification" ma:indexed="true" ma:default="" ma:fieldId="{6e0ca972-d02b-47c2-8edd-321aedd6af02}" ma:sspId="dae72980-c616-4350-b1f0-944e8da80af3" ma:termSetId="7ce5ed2c-7970-4dad-a989-f36bd51a5ca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5c1fcb-52bd-44c5-9143-aadb8331cbfe}" ma:internalName="TaxCatchAll" ma:showField="CatchAllData" ma:web="b0cb3f79-7a87-4aaf-85e3-8b06bdbcb05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5c1fcb-52bd-44c5-9143-aadb8331cbfe}" ma:internalName="TaxCatchAllLabel" ma:readOnly="true" ma:showField="CatchAllDataLabel" ma:web="b0cb3f79-7a87-4aaf-85e3-8b06bdbcb05a">
      <xsd:complexType>
        <xsd:complexContent>
          <xsd:extension base="dms:MultiChoiceLookup">
            <xsd:sequence>
              <xsd:element name="Value" type="dms:Lookup" maxOccurs="unbounded" minOccurs="0" nillable="true"/>
            </xsd:sequence>
          </xsd:extension>
        </xsd:complexContent>
      </xsd:complexType>
    </xsd:element>
    <xsd:element name="ha2d3fbb5bda47118db6a0a97a3a64c7" ma:index="12" nillable="true" ma:taxonomy="true" ma:internalName="ha2d3fbb5bda47118db6a0a97a3a64c7" ma:taxonomyFieldName="Security_x0020_marking" ma:displayName="Security marking" ma:default="" ma:fieldId="{1a2d3fbb-5bda-4711-8db6-a0a97a3a64c7}" ma:sspId="dae72980-c616-4350-b1f0-944e8da80af3" ma:termSetId="2101e3b3-ab6a-42f9-8e9e-f64b3905e49a" ma:anchorId="13ac7dcf-f3a2-4d0b-9e80-dd4d34be5e4c" ma:open="false" ma:isKeyword="false">
      <xsd:complexType>
        <xsd:sequence>
          <xsd:element ref="pc:Terms" minOccurs="0" maxOccurs="1"/>
        </xsd:sequence>
      </xsd:complexType>
    </xsd:element>
    <xsd:element name="gd3e280c44c043e38ab992083fd5c2fd" ma:index="14" nillable="true" ma:taxonomy="true" ma:internalName="gd3e280c44c043e38ab992083fd5c2fd" ma:taxonomyFieldName="Security_x0020_caveat" ma:displayName="Security caveat" ma:default="" ma:fieldId="{0d3e280c-44c0-43e3-8ab9-92083fd5c2fd}" ma:taxonomyMulti="true" ma:sspId="dae72980-c616-4350-b1f0-944e8da80af3" ma:termSetId="2101e3b3-ab6a-42f9-8e9e-f64b3905e49a" ma:anchorId="6fc02b3e-bb1c-4c4e-a2fe-3cc73cb9b89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cb3f79-7a87-4aaf-85e3-8b06bdbcb05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dae72980-c616-4350-b1f0-944e8da80af3" ContentTypeId="0x0101005E5DD8656D982041A2F2278B8806232B01" PreviousValue="false"/>
</file>

<file path=customXml/itemProps1.xml><?xml version="1.0" encoding="utf-8"?>
<ds:datastoreItem xmlns:ds="http://schemas.openxmlformats.org/officeDocument/2006/customXml" ds:itemID="{5D1365B9-6433-4342-82C9-240FF2DC1B4A}">
  <ds:schemaRefs>
    <ds:schemaRef ds:uri="http://purl.org/dc/elements/1.1/"/>
    <ds:schemaRef ds:uri="http://schemas.microsoft.com/office/2006/metadata/properties"/>
    <ds:schemaRef ds:uri="b0cb3f79-7a87-4aaf-85e3-8b06bdbcb05a"/>
    <ds:schemaRef ds:uri="http://purl.org/dc/terms/"/>
    <ds:schemaRef ds:uri="http://schemas.openxmlformats.org/package/2006/metadata/core-properties"/>
    <ds:schemaRef ds:uri="2aae4b3d-89b0-4287-b514-253578f2045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662E5B2-9770-447A-A52F-FA368D149EA2}">
  <ds:schemaRefs>
    <ds:schemaRef ds:uri="http://schemas.microsoft.com/sharepoint/v3/contenttype/forms"/>
  </ds:schemaRefs>
</ds:datastoreItem>
</file>

<file path=customXml/itemProps3.xml><?xml version="1.0" encoding="utf-8"?>
<ds:datastoreItem xmlns:ds="http://schemas.openxmlformats.org/officeDocument/2006/customXml" ds:itemID="{32983162-D11E-4FF8-B441-DA6A02164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4b3d-89b0-4287-b514-253578f20458"/>
    <ds:schemaRef ds:uri="b0cb3f79-7a87-4aaf-85e3-8b06bdbc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ECF82-0BCF-460F-9E13-5FDEE94276B6}">
  <ds:schemaRefs>
    <ds:schemaRef ds:uri="http://schemas.microsoft.com/sharepoint/events"/>
  </ds:schemaRefs>
</ds:datastoreItem>
</file>

<file path=customXml/itemProps5.xml><?xml version="1.0" encoding="utf-8"?>
<ds:datastoreItem xmlns:ds="http://schemas.openxmlformats.org/officeDocument/2006/customXml" ds:itemID="{E54F75F5-48FA-484F-9697-B22BEC4F63A0}">
  <ds:schemaRefs>
    <ds:schemaRef ds:uri="http://schemas.openxmlformats.org/officeDocument/2006/bibliography"/>
  </ds:schemaRefs>
</ds:datastoreItem>
</file>

<file path=customXml/itemProps6.xml><?xml version="1.0" encoding="utf-8"?>
<ds:datastoreItem xmlns:ds="http://schemas.openxmlformats.org/officeDocument/2006/customXml" ds:itemID="{0F2733F1-2939-4ABA-956E-8EA54A87DB8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7949</Words>
  <Characters>42663</Characters>
  <Application>Microsoft Office Word</Application>
  <DocSecurity>0</DocSecurity>
  <Lines>355</Lines>
  <Paragraphs>101</Paragraphs>
  <ScaleCrop>false</ScaleCrop>
  <Company>The Scottish Parliament</Company>
  <LinksUpToDate>false</LinksUpToDate>
  <CharactersWithSpaces>50511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Memorandum - Right to Addiction Recovery (Scotland) Bill</dc:title>
  <dc:subject/>
  <dc:creator>Bryan Chambers/Colin Roger</dc:creator>
  <cp:keywords/>
  <dc:description>Version 5.0.3 (XP) of Bill Handling Software - Amendments by Kevin Duffy &amp; Audrey Gray</dc:description>
  <cp:lastModifiedBy>Stewart N (Neil)</cp:lastModifiedBy>
  <cp:revision>4</cp:revision>
  <cp:lastPrinted>2024-05-09T15:01:00Z</cp:lastPrinted>
  <dcterms:created xsi:type="dcterms:W3CDTF">2024-05-09T16:10:00Z</dcterms:created>
  <dcterms:modified xsi:type="dcterms:W3CDTF">2024-05-09T16:25:00Z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 Title">
    <vt:lpwstr>&lt;Short Title&gt;</vt:lpwstr>
  </property>
  <property fmtid="{D5CDD505-2E9C-101B-9397-08002B2CF9AE}" pid="3" name="Bill Number">
    <vt:lpwstr>&lt;Bill Number&gt;</vt:lpwstr>
  </property>
  <property fmtid="{D5CDD505-2E9C-101B-9397-08002B2CF9AE}" pid="4" name="Introduced Date">
    <vt:lpwstr>&lt;Introduced Date&gt;</vt:lpwstr>
  </property>
  <property fmtid="{D5CDD505-2E9C-101B-9397-08002B2CF9AE}" pid="5" name="Year">
    <vt:lpwstr>2016</vt:lpwstr>
  </property>
  <property fmtid="{D5CDD505-2E9C-101B-9397-08002B2CF9AE}" pid="6" name="Session Number">
    <vt:lpwstr>&lt;Session Number&gt;</vt:lpwstr>
  </property>
  <property fmtid="{D5CDD505-2E9C-101B-9397-08002B2CF9AE}" pid="7" name="ContentTypeId">
    <vt:lpwstr>0x0101005E5DD8656D982041A2F2278B8806232B0100BE20882A1C80BF42AB8BB49A895FBC66</vt:lpwstr>
  </property>
  <property fmtid="{D5CDD505-2E9C-101B-9397-08002B2CF9AE}" pid="8" name="_cx_SecurityMarkings">
    <vt:lpwstr>2;#Not Protectively Marked|59351c5f-b7fd-4a97-8559-c38b9b573e6f</vt:lpwstr>
  </property>
  <property fmtid="{D5CDD505-2E9C-101B-9397-08002B2CF9AE}" pid="9" name="Language1">
    <vt:lpwstr>1;#English|8f5ff656-5a7e-462f-b6ae-4a4400758434</vt:lpwstr>
  </property>
  <property fmtid="{D5CDD505-2E9C-101B-9397-08002B2CF9AE}" pid="10" name="Session">
    <vt:lpwstr>53;#Session 4 (2011 to 2016)|a4ca4bd4-24c9-42da-81bd-95c6afc53c23</vt:lpwstr>
  </property>
  <property fmtid="{D5CDD505-2E9C-101B-9397-08002B2CF9AE}" pid="11" name="_cx_NationalCaveats">
    <vt:lpwstr/>
  </property>
  <property fmtid="{D5CDD505-2E9C-101B-9397-08002B2CF9AE}" pid="12" name="Document_x0020_type">
    <vt:lpwstr/>
  </property>
  <property fmtid="{D5CDD505-2E9C-101B-9397-08002B2CF9AE}" pid="13" name="Order">
    <vt:r8>878700</vt:r8>
  </property>
  <property fmtid="{D5CDD505-2E9C-101B-9397-08002B2CF9AE}" pid="14" name="gf275752ad8a43cebb50c95122c44092">
    <vt:lpwstr/>
  </property>
  <property fmtid="{D5CDD505-2E9C-101B-9397-08002B2CF9AE}" pid="15" name="xd_Signature">
    <vt:bool>false</vt:bool>
  </property>
  <property fmtid="{D5CDD505-2E9C-101B-9397-08002B2CF9AE}" pid="16" name="l0e769f359ea4d3099041bd7f4391802">
    <vt:lpwstr/>
  </property>
  <property fmtid="{D5CDD505-2E9C-101B-9397-08002B2CF9AE}" pid="17" name="xd_ProgID">
    <vt:lpwstr/>
  </property>
  <property fmtid="{D5CDD505-2E9C-101B-9397-08002B2CF9AE}" pid="18" name="dlc_EmailCC">
    <vt:lpwstr/>
  </property>
  <property fmtid="{D5CDD505-2E9C-101B-9397-08002B2CF9AE}" pid="19" name="Bill">
    <vt:lpwstr/>
  </property>
  <property fmtid="{D5CDD505-2E9C-101B-9397-08002B2CF9AE}" pid="20" name="dlc_EmailSubject">
    <vt:lpwstr/>
  </property>
  <property fmtid="{D5CDD505-2E9C-101B-9397-08002B2CF9AE}" pid="21" name="dlc_EmailTo">
    <vt:lpwstr/>
  </property>
  <property fmtid="{D5CDD505-2E9C-101B-9397-08002B2CF9AE}" pid="22" name="dc81a62e02e14c00a3fb7e8975e60be5">
    <vt:lpwstr/>
  </property>
  <property fmtid="{D5CDD505-2E9C-101B-9397-08002B2CF9AE}" pid="23" name="TemplateUrl">
    <vt:lpwstr/>
  </property>
  <property fmtid="{D5CDD505-2E9C-101B-9397-08002B2CF9AE}" pid="24" name="SPPB No">
    <vt:lpwstr/>
  </property>
  <property fmtid="{D5CDD505-2E9C-101B-9397-08002B2CF9AE}" pid="25" name="BB number">
    <vt:lpwstr/>
  </property>
  <property fmtid="{D5CDD505-2E9C-101B-9397-08002B2CF9AE}" pid="26" name="_cx_CodeWords">
    <vt:lpwstr/>
  </property>
  <property fmtid="{D5CDD505-2E9C-101B-9397-08002B2CF9AE}" pid="27" name="dlc_EmailFrom">
    <vt:lpwstr/>
  </property>
  <property fmtid="{D5CDD505-2E9C-101B-9397-08002B2CF9AE}" pid="28" name="CX_RelocationTimestamp">
    <vt:lpwstr>2015-08-26T13:10:03Z</vt:lpwstr>
  </property>
  <property fmtid="{D5CDD505-2E9C-101B-9397-08002B2CF9AE}" pid="29" name="CX_RelocationUser">
    <vt:lpwstr>Bell F (Frances)</vt:lpwstr>
  </property>
  <property fmtid="{D5CDD505-2E9C-101B-9397-08002B2CF9AE}" pid="30" name="CX_RelocationOperation">
    <vt:lpwstr>Copy</vt:lpwstr>
  </property>
  <property fmtid="{D5CDD505-2E9C-101B-9397-08002B2CF9AE}" pid="31" name="CX_RelocationReason">
    <vt:lpwstr>Make templates easier to find</vt:lpwstr>
  </property>
  <property fmtid="{D5CDD505-2E9C-101B-9397-08002B2CF9AE}" pid="32" name="Bill_x0020_type">
    <vt:lpwstr/>
  </property>
  <property fmtid="{D5CDD505-2E9C-101B-9397-08002B2CF9AE}" pid="33" name="Document type">
    <vt:lpwstr/>
  </property>
  <property fmtid="{D5CDD505-2E9C-101B-9397-08002B2CF9AE}" pid="34" name="Bill type">
    <vt:lpwstr/>
  </property>
  <property fmtid="{D5CDD505-2E9C-101B-9397-08002B2CF9AE}" pid="35" name="Security marking">
    <vt:lpwstr/>
  </property>
  <property fmtid="{D5CDD505-2E9C-101B-9397-08002B2CF9AE}" pid="36" name="Security caveat">
    <vt:lpwstr/>
  </property>
  <property fmtid="{D5CDD505-2E9C-101B-9397-08002B2CF9AE}" pid="37" name="Record classification">
    <vt:lpwstr/>
  </property>
  <property fmtid="{D5CDD505-2E9C-101B-9397-08002B2CF9AE}" pid="38" name="_dlc_DocIdItemGuid">
    <vt:lpwstr>af9b3c64-70f3-4dea-a630-be57e362a308</vt:lpwstr>
  </property>
</Properties>
</file>